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06CD"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1B279FCC" w14:textId="22AD5ABE" w:rsidR="00DC69F1" w:rsidRDefault="00113D2C" w:rsidP="00DC69F1">
      <w:pPr>
        <w:pStyle w:val="BodyText"/>
        <w:framePr w:w="10800" w:h="2142" w:hRule="exact" w:hSpace="187" w:wrap="auto" w:vAnchor="page" w:hAnchor="page" w:x="714" w:y="1085"/>
        <w:rPr>
          <w:b/>
          <w:sz w:val="28"/>
          <w:szCs w:val="28"/>
        </w:rPr>
      </w:pPr>
      <w:r w:rsidRPr="00113D2C">
        <w:rPr>
          <w:b/>
          <w:bCs/>
          <w:i/>
          <w:caps/>
          <w:sz w:val="28"/>
          <w:szCs w:val="28"/>
        </w:rPr>
        <w:t>Facing climate change: Does Switzerland have enough water?</w:t>
      </w:r>
    </w:p>
    <w:p w14:paraId="738C0AC0" w14:textId="77777777" w:rsidR="00113D2C" w:rsidRDefault="00113D2C" w:rsidP="00DC69F1">
      <w:pPr>
        <w:pStyle w:val="BodyText"/>
        <w:framePr w:w="10800" w:h="2142" w:hRule="exact" w:hSpace="187" w:wrap="auto" w:vAnchor="page" w:hAnchor="page" w:x="714" w:y="1085"/>
        <w:jc w:val="right"/>
        <w:rPr>
          <w:sz w:val="20"/>
        </w:rPr>
      </w:pPr>
    </w:p>
    <w:p w14:paraId="2141B270" w14:textId="77777777" w:rsidR="00113D2C" w:rsidRPr="00620554" w:rsidRDefault="00113D2C" w:rsidP="00113D2C">
      <w:pPr>
        <w:pStyle w:val="BodyText"/>
        <w:framePr w:w="10800" w:h="2142" w:hRule="exact" w:hSpace="187" w:wrap="auto" w:vAnchor="page" w:hAnchor="page" w:x="714" w:y="1085"/>
        <w:jc w:val="right"/>
        <w:rPr>
          <w:sz w:val="20"/>
          <w:lang w:val="en-US"/>
        </w:rPr>
      </w:pPr>
      <w:r w:rsidRPr="00620554">
        <w:rPr>
          <w:sz w:val="20"/>
          <w:lang w:val="en-US"/>
        </w:rPr>
        <w:t>Juan Esteban Mar</w:t>
      </w:r>
      <w:r>
        <w:rPr>
          <w:sz w:val="20"/>
          <w:lang w:val="en-US"/>
        </w:rPr>
        <w:t>t</w:t>
      </w:r>
      <w:r w:rsidRPr="00620554">
        <w:rPr>
          <w:sz w:val="20"/>
          <w:lang w:val="en-US"/>
        </w:rPr>
        <w:t xml:space="preserve">inez-Jaramillo, University of Lausanne, Faculty of Business and Economics (HEC Lausanne), </w:t>
      </w:r>
      <w:r>
        <w:rPr>
          <w:sz w:val="20"/>
          <w:lang w:val="en-US"/>
        </w:rPr>
        <w:t>+41787245877</w:t>
      </w:r>
      <w:r w:rsidRPr="00620554">
        <w:rPr>
          <w:sz w:val="20"/>
          <w:lang w:val="en-US"/>
        </w:rPr>
        <w:t xml:space="preserve">, </w:t>
      </w:r>
      <w:r>
        <w:rPr>
          <w:sz w:val="20"/>
          <w:lang w:val="en-US"/>
        </w:rPr>
        <w:t>juanesteban.martinezjaramillo@unil.ch</w:t>
      </w:r>
    </w:p>
    <w:p w14:paraId="706745EE" w14:textId="77777777" w:rsidR="00113D2C" w:rsidRPr="00D767DA" w:rsidRDefault="00113D2C" w:rsidP="00113D2C">
      <w:pPr>
        <w:pStyle w:val="BodyText"/>
        <w:framePr w:w="10800" w:h="2142" w:hRule="exact" w:hSpace="187" w:wrap="auto" w:vAnchor="page" w:hAnchor="page" w:x="714" w:y="1085"/>
        <w:jc w:val="right"/>
        <w:rPr>
          <w:sz w:val="20"/>
        </w:rPr>
      </w:pPr>
      <w:r w:rsidRPr="00620554">
        <w:rPr>
          <w:sz w:val="20"/>
        </w:rPr>
        <w:t xml:space="preserve">Ann van </w:t>
      </w:r>
      <w:proofErr w:type="spellStart"/>
      <w:r w:rsidRPr="00620554">
        <w:rPr>
          <w:sz w:val="20"/>
        </w:rPr>
        <w:t>Ackere</w:t>
      </w:r>
      <w:proofErr w:type="spellEnd"/>
      <w:r>
        <w:rPr>
          <w:sz w:val="20"/>
        </w:rPr>
        <w:t xml:space="preserve">, </w:t>
      </w:r>
      <w:r w:rsidRPr="00620554">
        <w:rPr>
          <w:sz w:val="20"/>
          <w:lang w:val="en-US"/>
        </w:rPr>
        <w:t>University of Lausanne, Faculty of Business and Economics (HEC Lausanne)</w:t>
      </w:r>
      <w:r>
        <w:rPr>
          <w:sz w:val="20"/>
        </w:rPr>
        <w:t>, +41</w:t>
      </w:r>
      <w:r w:rsidRPr="00620554">
        <w:t xml:space="preserve"> </w:t>
      </w:r>
      <w:r>
        <w:rPr>
          <w:sz w:val="20"/>
        </w:rPr>
        <w:t>02169234</w:t>
      </w:r>
      <w:r w:rsidRPr="00620554">
        <w:rPr>
          <w:sz w:val="20"/>
        </w:rPr>
        <w:t>54</w:t>
      </w:r>
      <w:r>
        <w:rPr>
          <w:sz w:val="20"/>
        </w:rPr>
        <w:t xml:space="preserve">, </w:t>
      </w:r>
      <w:r w:rsidRPr="00620554">
        <w:rPr>
          <w:sz w:val="20"/>
        </w:rPr>
        <w:t>ann.vanAckere@unil.ch</w:t>
      </w:r>
      <w:r w:rsidRPr="00D767DA">
        <w:rPr>
          <w:sz w:val="20"/>
        </w:rPr>
        <w:t xml:space="preserve"> </w:t>
      </w:r>
    </w:p>
    <w:p w14:paraId="7B6651AB" w14:textId="376492A0" w:rsidR="00DC69F1" w:rsidRPr="00D767DA" w:rsidRDefault="00113D2C" w:rsidP="00113D2C">
      <w:pPr>
        <w:pStyle w:val="BodyText"/>
        <w:framePr w:w="10800" w:h="2142" w:hRule="exact" w:hSpace="187" w:wrap="auto" w:vAnchor="page" w:hAnchor="page" w:x="714" w:y="1085"/>
        <w:jc w:val="right"/>
        <w:rPr>
          <w:i/>
        </w:rPr>
      </w:pPr>
      <w:r w:rsidRPr="00620554">
        <w:rPr>
          <w:sz w:val="20"/>
          <w:lang w:val="en-US"/>
        </w:rPr>
        <w:t>Erik Larsen, Aarhus University</w:t>
      </w:r>
      <w:r>
        <w:rPr>
          <w:sz w:val="20"/>
          <w:lang w:val="en-US"/>
        </w:rPr>
        <w:t>,</w:t>
      </w:r>
      <w:r w:rsidRPr="00620554">
        <w:t xml:space="preserve"> </w:t>
      </w:r>
      <w:r w:rsidRPr="00620554">
        <w:rPr>
          <w:sz w:val="20"/>
          <w:lang w:val="en-US"/>
        </w:rPr>
        <w:t>Department of Management, +4587165492, erik.larsen@mgmt.au.dk</w:t>
      </w:r>
    </w:p>
    <w:p w14:paraId="1F580D07" w14:textId="77777777" w:rsidR="00DC69F1" w:rsidRDefault="00DC69F1">
      <w:pPr>
        <w:pStyle w:val="copyright"/>
      </w:pPr>
    </w:p>
    <w:p w14:paraId="0FF87B6B" w14:textId="77777777" w:rsidR="004C048E" w:rsidRDefault="004C048E" w:rsidP="00FC73E0">
      <w:pPr>
        <w:pStyle w:val="BodyText2"/>
        <w:spacing w:after="200"/>
        <w:rPr>
          <w:highlight w:val="yellow"/>
        </w:rPr>
      </w:pPr>
    </w:p>
    <w:p w14:paraId="7DCC7F4C" w14:textId="77777777" w:rsidR="00FC73E0" w:rsidRDefault="00FC73E0" w:rsidP="00113D2C">
      <w:pPr>
        <w:pStyle w:val="Heading2"/>
        <w:rPr>
          <w:i w:val="0"/>
          <w:sz w:val="24"/>
          <w:szCs w:val="24"/>
        </w:rPr>
      </w:pPr>
    </w:p>
    <w:p w14:paraId="293C8730"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6354B7AE" w14:textId="77777777" w:rsidR="00113D2C" w:rsidRDefault="00113D2C" w:rsidP="00113D2C">
      <w:pPr>
        <w:pStyle w:val="BodyText2"/>
        <w:spacing w:after="200"/>
        <w:ind w:firstLine="0"/>
        <w:rPr>
          <w:highlight w:val="yellow"/>
        </w:rPr>
      </w:pPr>
    </w:p>
    <w:p w14:paraId="5377807D" w14:textId="60777F1F" w:rsidR="00113D2C" w:rsidRPr="00113D2C" w:rsidRDefault="00113D2C" w:rsidP="00113D2C">
      <w:pPr>
        <w:pStyle w:val="BodyText2"/>
        <w:ind w:firstLine="0"/>
        <w:rPr>
          <w:lang w:val="en-US"/>
        </w:rPr>
      </w:pPr>
      <w:r w:rsidRPr="00113D2C">
        <w:t xml:space="preserve">Climate change forces electricity systems to change radically </w:t>
      </w:r>
      <w:r w:rsidRPr="00113D2C">
        <w:rPr>
          <w:lang w:val="en-US"/>
        </w:rPr>
        <w:fldChar w:fldCharType="begin" w:fldLock="1"/>
      </w:r>
      <w:r w:rsidRPr="00113D2C">
        <w:rPr>
          <w:lang w:val="en-US"/>
        </w:rPr>
        <w:instrText>ADDIN CSL_CITATION {"citationItems":[{"id":"ITEM-1","itemData":{"author":[{"dropping-particle":"","family":"Bruckner","given":"T","non-dropping-particle":"","parse-names":false,"suffix":""},{"dropping-particle":"","family":"Alexeyevich","given":"I","non-dropping-particle":"","parse-names":false,"suffix":""},{"dropping-particle":"","family":"Mulugetta","given":"Y","non-dropping-particle":"","parse-names":false,"suffix":""}],"chapter-number":"7","container-title":"Contribution of Working Group III to the Fifth Assesment Report of the Intergovernmental Panel of Climate Change","id":"ITEM-1","issued":{"date-parts":[["2014"]]},"page":"137","title":"Energy Systems, Mitigation of Climate Change.","type":"chapter"},"uris":["http://www.mendeley.com/documents/?uuid=9328d3a6-40c9-4c2d-ae83-ddf5e3eb3d0b"]}],"mendeley":{"formattedCitation":"(Bruckner, Alexeyevich, &amp; Mulugetta, 2014)","plainTextFormattedCitation":"(Bruckner, Alexeyevich, &amp; Mulugetta, 2014)","previouslyFormattedCitation":"[1]"},"properties":{"noteIndex":0},"schema":"https://github.com/citation-style-language/schema/raw/master/csl-citation.json"}</w:instrText>
      </w:r>
      <w:r w:rsidRPr="00113D2C">
        <w:rPr>
          <w:lang w:val="en-US"/>
        </w:rPr>
        <w:fldChar w:fldCharType="separate"/>
      </w:r>
      <w:r w:rsidRPr="00113D2C">
        <w:rPr>
          <w:lang w:val="en-US"/>
        </w:rPr>
        <w:t xml:space="preserve">(Bruckner, </w:t>
      </w:r>
      <w:proofErr w:type="spellStart"/>
      <w:r w:rsidRPr="00113D2C">
        <w:rPr>
          <w:lang w:val="en-US"/>
        </w:rPr>
        <w:t>Alexeyevich</w:t>
      </w:r>
      <w:proofErr w:type="spellEnd"/>
      <w:r w:rsidRPr="00113D2C">
        <w:rPr>
          <w:lang w:val="en-US"/>
        </w:rPr>
        <w:t xml:space="preserve">, &amp; </w:t>
      </w:r>
      <w:proofErr w:type="spellStart"/>
      <w:r w:rsidRPr="00113D2C">
        <w:rPr>
          <w:lang w:val="en-US"/>
        </w:rPr>
        <w:t>Mulugetta</w:t>
      </w:r>
      <w:proofErr w:type="spellEnd"/>
      <w:r w:rsidRPr="00113D2C">
        <w:rPr>
          <w:lang w:val="en-US"/>
        </w:rPr>
        <w:t>, 2014)</w:t>
      </w:r>
      <w:r w:rsidRPr="00113D2C">
        <w:fldChar w:fldCharType="end"/>
      </w:r>
      <w:r w:rsidRPr="00113D2C">
        <w:rPr>
          <w:lang w:val="en-US"/>
        </w:rPr>
        <w:t xml:space="preserve">. Thus, many countries have been developing policies that encourage the transition from fossil fuels to renewables, such as sun and wind, to mitigate the greenhouse gas emission (GHG) footprint </w:t>
      </w:r>
      <w:r w:rsidRPr="00113D2C">
        <w:rPr>
          <w:lang w:val="en-US"/>
        </w:rPr>
        <w:fldChar w:fldCharType="begin" w:fldLock="1"/>
      </w:r>
      <w:r w:rsidRPr="00113D2C">
        <w:rPr>
          <w:lang w:val="en-US"/>
        </w:rPr>
        <w:instrText>ADDIN CSL_CITATION {"citationItems":[{"id":"ITEM-1","itemData":{"DOI":"10.1007/s10640-016-0025-3","ISSN":"15731502","abstract":"This study analyzes the degree to which renewable energy policies, in particu-lar feed-in tariffs and renewable portfolio standards, facilitate renewable energy generation growth across a wide range of countries using an original cross-national dataset of 164 countries between 1990 and 2010. Results provide evidence that both policies are important predictors of renewable energy market growth. The dependent variable is operationalized first as the percentage of total electricity from renewable energy and second as the annual increase in total renewable energy generation in a country. Results are robust to several alternative model specifications including those that exclude hydroelectric generation in the construct of renewable energy. The degree to which feed-in tariffs are endogenous, however, is not conclusive. Besides the prominent role of these policies, results reveal that factors related to annual increases in renewable energy differ from those related to an overall transition toward greater reliance on renewable energy. This suggests that simply increasing renewable generation does not necessarily decrease reliance on fossil fuels or help countries make the shift to a clean energy economy.","author":[{"dropping-particle":"","family":"Carley","given":"Sanya","non-dropping-particle":"","parse-names":false,"suffix":""},{"dropping-particle":"","family":"Baldwin","given":"Elizabeth","non-dropping-particle":"","parse-names":false,"suffix":""},{"dropping-particle":"","family":"MacLean","given":"Lauren M.","non-dropping-particle":"","parse-names":false,"suffix":""},{"dropping-particle":"","family":"Brass","given":"Jennifer N.","non-dropping-particle":"","parse-names":false,"suffix":""}],"container-title":"Environmental and Resource Economics","id":"ITEM-1","issue":"2","issued":{"date-parts":[["2017"]]},"page":"397-440","publisher":"Springer Netherlands","title":"Global Expansion of Renewable Energy Generation: An Analysis of Policy Instruments","type":"article-journal","volume":"68"},"uris":["http://www.mendeley.com/documents/?uuid=c3c484d6-c4c8-47db-bd16-d9012b18a5df"]},{"id":"ITEM-2","itemData":{"DOI":"10.1016/j.apenergy.2010.03.006","ISBN":"0306-2619","ISSN":"03062619","abstract":"In 2007 Ireland supplied 96% of the total energy demand with fossil fuels (7% domestic and 89% imported) and 3% with renewable energy, even though there are enough renewable resources to supply all the energy required. As energy prices increase and the effects of global warming worsen, it is essential that Ireland begins to utilise its renewable resources more effectively. Therefore, this study presents the first step towards a 100% renewable energy-system for Ireland. The energy-system analysis tool used was EnergyPLAN, as it accounts for all sectors of the energy-system that need to be considered when integrating large penetrations of renewable energy: the electricity, heat, and transport sectors. Initially, a reference model of the existing Irish energy-system was constructed, and subsequently three different 100% renewable energy-systems were created with each focusing on a different resource: biomass, hydrogen, and electricity. These energy-systems were compared so that the benefits from each could be used to create an 'optimum' scenario called combination. Although the results illustrate a potential 100% renewable energy-system for Ireland, they have been obtained based on numerous assumptions. Therefore, these will need to be improved in the future before a serious roadmap can be defined for Ireland's renewable energy transition. © 2010 Elsevier Ltd.","author":[{"dropping-particle":"","family":"Connolly","given":"D.","non-dropping-particle":"","parse-names":false,"suffix":""},{"dropping-particle":"","family":"Lund","given":"H.","non-dropping-particle":"","parse-names":false,"suffix":""},{"dropping-particle":"V.","family":"Mathiesen","given":"B.","non-dropping-particle":"","parse-names":false,"suffix":""},{"dropping-particle":"","family":"Leahy","given":"M.","non-dropping-particle":"","parse-names":false,"suffix":""}],"container-title":"Applied Energy","id":"ITEM-2","issue":"2","issued":{"date-parts":[["2011"]]},"page":"502-507","publisher":"Elsevier Ltd","title":"The first step towards a 100% renewable energy-system for Ireland","type":"article-journal","volume":"88"},"uris":["http://www.mendeley.com/documents/?uuid=87a5f230-e745-488a-9bd9-c535593cc8e3"]},{"id":"ITEM-3","itemData":{"DOI":"10.1016/j.apenergy.2016.03.084","ISBN":"0306-2619","ISSN":"03062619","abstract":"Switzerland and Europe are currently at a crossroads with respect to its electricity policy. Several existing nuclear and fossil fuel power plants are to be retired in the coming years. Meanwhile, ambitious carbon dioxide (CO2) emission reductions are envisaged, which could penalise fossil power plants and encourage investments in renewable-based electricity generation. Switzerland and a few other countries in Europe have decided to phase-out their nuclear capacity, thereby removing a low-carbon source of electricity in the medium- to long-term future. In order to understand possible electricity transition pathways for Switzerland, electricity supply options for Switzerland and its four neighbouring countries namely Austria, France, Germany and Italy are analysed to assess non-nuclear alternatives under a stringent climate mitigation policy. The cross border Swiss TIMES electricity model (CROSSTEM), a cost optimisation framework with a long time horizon and an hourly temporal resolution, is used for this analysis. In the absence of any CO2emission reduction targets, gas-based generation supplemented by electricity imports is the cost-effective alternative to nuclear for Switzerland. For a low carbon electricity system, natural gas based generation with Carbon Capture and Storage (CCS), complemented by an accelerated investment in renewable generation is required. Traditional electricity trade patterns have to be revised, with significant increases in cross-border interconnector capacities necessary to transfer electricity to Switzerland from countries with abundant renewable resources such as Germany and Italy. The average cost of electricity in a decarbonised electricity sector would increase in the range of 30-120% by 2050 compared to today, depending on the scenario assumptions. The availability of CCS technology and the requirement for electricity storage are particularly important to achieve a complete decarbonisation of the electricity sector with a nuclear phase-out.","author":[{"dropping-particle":"","family":"Pattupara","given":"Rajesh","non-dropping-particle":"","parse-names":false,"suffix":""},{"dropping-particle":"","family":"Kannan","given":"Ramachandran","non-dropping-particle":"","parse-names":false,"suffix":""}],"container-title":"Applied Energy","id":"ITEM-3","issued":{"date-parts":[["2016"]]},"page":"152-168","publisher":"Elsevier Ltd","title":"Alternative low-carbon electricity pathways in Switzerland and it's neighbouring countries under a nuclear phase-out scenario","type":"article-journal","volume":"172"},"uris":["http://www.mendeley.com/documents/?uuid=145c11b9-7c7b-4e98-95af-2a1938bb54a5"]}],"mendeley":{"formattedCitation":"(Carley, Baldwin, MacLean, &amp; Brass, 2017; Connolly, Lund, Mathiesen, &amp; Leahy, 2011; Pattupara &amp; Kannan, 2016)","plainTextFormattedCitation":"(Carley, Baldwin, MacLean, &amp; Brass, 2017; Connolly, Lund, Mathiesen, &amp; Leahy, 2011; Pattupara &amp; Kannan, 2016)","previouslyFormattedCitation":"[2–4]"},"properties":{"noteIndex":0},"schema":"https://github.com/citation-style-language/schema/raw/master/csl-citation.json"}</w:instrText>
      </w:r>
      <w:r w:rsidRPr="00113D2C">
        <w:rPr>
          <w:lang w:val="en-US"/>
        </w:rPr>
        <w:fldChar w:fldCharType="separate"/>
      </w:r>
      <w:r w:rsidRPr="00113D2C">
        <w:rPr>
          <w:lang w:val="en-US"/>
        </w:rPr>
        <w:t xml:space="preserve">(Carley, Baldwin, MacLean, &amp; Brass, 2017; Connolly, Lund, </w:t>
      </w:r>
      <w:proofErr w:type="spellStart"/>
      <w:r w:rsidRPr="00113D2C">
        <w:rPr>
          <w:lang w:val="en-US"/>
        </w:rPr>
        <w:t>Mathiesen</w:t>
      </w:r>
      <w:proofErr w:type="spellEnd"/>
      <w:r w:rsidRPr="00113D2C">
        <w:rPr>
          <w:lang w:val="en-US"/>
        </w:rPr>
        <w:t xml:space="preserve">, &amp; Leahy, 2011; </w:t>
      </w:r>
      <w:proofErr w:type="spellStart"/>
      <w:r w:rsidRPr="00113D2C">
        <w:rPr>
          <w:lang w:val="en-US"/>
        </w:rPr>
        <w:t>Pattupara</w:t>
      </w:r>
      <w:proofErr w:type="spellEnd"/>
      <w:r w:rsidRPr="00113D2C">
        <w:rPr>
          <w:lang w:val="en-US"/>
        </w:rPr>
        <w:t xml:space="preserve"> &amp; Kannan, 2016)</w:t>
      </w:r>
      <w:r w:rsidRPr="00113D2C">
        <w:fldChar w:fldCharType="end"/>
      </w:r>
      <w:r w:rsidRPr="00113D2C">
        <w:rPr>
          <w:lang w:val="en-US"/>
        </w:rPr>
        <w:t xml:space="preserve">. </w:t>
      </w:r>
    </w:p>
    <w:p w14:paraId="519225CC" w14:textId="77777777" w:rsidR="00113D2C" w:rsidRPr="00113D2C" w:rsidRDefault="00113D2C" w:rsidP="00113D2C">
      <w:pPr>
        <w:pStyle w:val="BodyText2"/>
        <w:ind w:firstLine="0"/>
        <w:rPr>
          <w:lang w:val="en-US"/>
        </w:rPr>
      </w:pPr>
    </w:p>
    <w:p w14:paraId="6B7941F5" w14:textId="44176BDF" w:rsidR="00113D2C" w:rsidRPr="00113D2C" w:rsidRDefault="00113D2C" w:rsidP="00113D2C">
      <w:pPr>
        <w:pStyle w:val="BodyText2"/>
        <w:ind w:firstLine="0"/>
      </w:pPr>
      <w:r w:rsidRPr="00113D2C">
        <w:rPr>
          <w:lang w:val="en-US"/>
        </w:rPr>
        <w:t xml:space="preserve">The use of Renewable Energy Sources (RES) has increased sharply over the last decade due to technological progress and economies of scale </w:t>
      </w:r>
      <w:r w:rsidRPr="00113D2C">
        <w:rPr>
          <w:lang w:val="en-US"/>
        </w:rPr>
        <w:fldChar w:fldCharType="begin" w:fldLock="1"/>
      </w:r>
      <w:r w:rsidRPr="00113D2C">
        <w:rPr>
          <w:lang w:val="en-US"/>
        </w:rPr>
        <w:instrText>ADDIN CSL_CITATION {"citationItems":[{"id":"ITEM-1","itemData":{"DOI":"10.1016/j.enpol.2015.10.024","ISSN":"03014215","abstract":"A successful deployment of power generation coming from variable renewable sources, such as wind and solar photovoltaic, strongly depends on the economic cost of system integration. This paper, in seeking to look beyond the impact of renewable generation on the evolution of the total economic costs associated with the operation of the electricity system, aims to estimate the sensitivity of balancing market requirements and costs to the variable and non-fully predictable nature of intermittent renewable generation. The estimations reported in this paper for the Spanish electricity system stress the importance of both attributes as well as power system flexibility when accounting for the cost of balancing services.","author":[{"dropping-particle":"","family":"Batalla-Bejerano","given":"Joan","non-dropping-particle":"","parse-names":false,"suffix":""},{"dropping-particle":"","family":"Trujillo-Baute","given":"Elisa","non-dropping-particle":"","parse-names":false,"suffix":""}],"container-title":"Energy Policy","id":"ITEM-1","issued":{"date-parts":[["2016"]]},"page":"411-420","publisher":"Elsevier","title":"Impacts of intermittent renewable generation on electricity system costs","type":"article-journal","volume":"94"},"uris":["http://www.mendeley.com/documents/?uuid=69540ee2-b173-4944-91f7-3fe158759621","http://www.mendeley.com/documents/?uuid=2620e584-dee3-49d9-8014-e3a83c88e532"]},{"id":"ITEM-2","itemData":{"DOI":"10.1016/j.renene.2011.01.002","ISBN":"0960-1481","ISSN":"09601481","abstract":"Although wind energy exploitation dates back five thousand years ago, contemporary societies are based almost exclusively on fossil fuels for covering their electrical energy needs. On the other hand, during the last thirty years, security of energy supply and environmental issues have reheated the interest for wind energy applications. In this context, the present work traces the long and difficult steps of wind energy development from the California era to the construction of huge offshore wind parks worldwide, highlighting the prospects and the main challenges of wind energy applications towards the target of 1000 GW of wind power by 2030. © 2011 Elsevier Ltd.","author":[{"dropping-particle":"","family":"Kaldellis","given":"John K.","non-dropping-particle":"","parse-names":false,"suffix":""},{"dropping-particle":"","family":"Zafirakis","given":"D.","non-dropping-particle":"","parse-names":false,"suffix":""}],"container-title":"Renewable Energy","id":"ITEM-2","issue":"7","issued":{"date-parts":[["2011"]]},"page":"1887-1901","title":"The wind energy (r)evolution: A short review of a long history","type":"article-journal","volume":"36"},"uris":["http://www.mendeley.com/documents/?uuid=f64ad527-c609-408b-b2f6-a7bdd932ac79","http://www.mendeley.com/documents/?uuid=3d96f571-da9d-45cd-b148-c24c041f33a9"]}],"mendeley":{"formattedCitation":"(Batalla-Bejerano &amp; Trujillo-Baute, 2016; Kaldellis &amp; Zafirakis, 2011)","plainTextFormattedCitation":"(Batalla-Bejerano &amp; Trujillo-Baute, 2016; Kaldellis &amp; Zafirakis, 2011)","previouslyFormattedCitation":"[5,6]"},"properties":{"noteIndex":0},"schema":"https://github.com/citation-style-language/schema/raw/master/csl-citation.json"}</w:instrText>
      </w:r>
      <w:r w:rsidRPr="00113D2C">
        <w:rPr>
          <w:lang w:val="en-US"/>
        </w:rPr>
        <w:fldChar w:fldCharType="separate"/>
      </w:r>
      <w:r w:rsidRPr="00113D2C">
        <w:rPr>
          <w:lang w:val="en-US"/>
        </w:rPr>
        <w:t>(</w:t>
      </w:r>
      <w:proofErr w:type="spellStart"/>
      <w:r w:rsidRPr="00113D2C">
        <w:rPr>
          <w:lang w:val="en-US"/>
        </w:rPr>
        <w:t>Batalla-Bejerano</w:t>
      </w:r>
      <w:proofErr w:type="spellEnd"/>
      <w:r w:rsidRPr="00113D2C">
        <w:rPr>
          <w:lang w:val="en-US"/>
        </w:rPr>
        <w:t xml:space="preserve"> &amp; Trujillo-</w:t>
      </w:r>
      <w:proofErr w:type="spellStart"/>
      <w:r w:rsidRPr="00113D2C">
        <w:rPr>
          <w:lang w:val="en-US"/>
        </w:rPr>
        <w:t>Baute</w:t>
      </w:r>
      <w:proofErr w:type="spellEnd"/>
      <w:r w:rsidRPr="00113D2C">
        <w:rPr>
          <w:lang w:val="en-US"/>
        </w:rPr>
        <w:t xml:space="preserve">, 2016; </w:t>
      </w:r>
      <w:proofErr w:type="spellStart"/>
      <w:r w:rsidRPr="00113D2C">
        <w:rPr>
          <w:lang w:val="en-US"/>
        </w:rPr>
        <w:t>Kaldellis</w:t>
      </w:r>
      <w:proofErr w:type="spellEnd"/>
      <w:r w:rsidRPr="00113D2C">
        <w:rPr>
          <w:lang w:val="en-US"/>
        </w:rPr>
        <w:t xml:space="preserve"> &amp; </w:t>
      </w:r>
      <w:proofErr w:type="spellStart"/>
      <w:r w:rsidRPr="00113D2C">
        <w:rPr>
          <w:lang w:val="en-US"/>
        </w:rPr>
        <w:t>Zafirakis</w:t>
      </w:r>
      <w:proofErr w:type="spellEnd"/>
      <w:r w:rsidRPr="00113D2C">
        <w:rPr>
          <w:lang w:val="en-US"/>
        </w:rPr>
        <w:t>, 2011)</w:t>
      </w:r>
      <w:r w:rsidRPr="00113D2C">
        <w:fldChar w:fldCharType="end"/>
      </w:r>
      <w:r w:rsidRPr="00113D2C">
        <w:rPr>
          <w:lang w:val="en-US"/>
        </w:rPr>
        <w:t>. In 2018 the total renewable installed capacity (including hydropower) was of the order of 2.4 TW, compared to 1.2 TW</w:t>
      </w:r>
      <w:r w:rsidRPr="00113D2C">
        <w:t xml:space="preserve"> at the end of 2009 </w:t>
      </w:r>
      <w:r w:rsidRPr="00113D2C">
        <w:rPr>
          <w:lang w:val="en-US"/>
        </w:rPr>
        <w:fldChar w:fldCharType="begin" w:fldLock="1"/>
      </w:r>
      <w:r w:rsidRPr="00113D2C">
        <w:instrText>ADDIN CSL_CITATION {"citationItems":[{"id":"ITEM-1","itemData":{"URL":"https://www.ren21.net/wp-content/uploads/2019/05/gsr_2019_full_report_en.pdf","accessed":{"date-parts":[["2019","11","13"]]},"author":[{"dropping-particle":"","family":"REN21","given":"","non-dropping-particle":"","parse-names":false,"suffix":""}],"id":"ITEM-1","issued":{"date-parts":[["2019"]]},"title":"Renewables 2019 Global Status Report","type":"webpage"},"uris":["http://www.mendeley.com/documents/?uuid=b8731964-fd3b-4588-acbd-15a1148ae071"]}],"mendeley":{"formattedCitation":"(REN21, 2019)","plainTextFormattedCitation":"(REN21, 2019)","previouslyFormattedCitation":"[7]"},"properties":{"noteIndex":0},"schema":"https://github.com/citation-style-language/schema/raw/master/csl-citation.json"}</w:instrText>
      </w:r>
      <w:r w:rsidRPr="00113D2C">
        <w:rPr>
          <w:lang w:val="en-US"/>
        </w:rPr>
        <w:fldChar w:fldCharType="separate"/>
      </w:r>
      <w:r w:rsidRPr="00113D2C">
        <w:t>(REN21, 2019)</w:t>
      </w:r>
      <w:r w:rsidRPr="00113D2C">
        <w:fldChar w:fldCharType="end"/>
      </w:r>
      <w:r w:rsidRPr="00113D2C">
        <w:t xml:space="preserve">. </w:t>
      </w:r>
      <w:r w:rsidRPr="00113D2C">
        <w:rPr>
          <w:lang w:val="en-US"/>
        </w:rPr>
        <w:t xml:space="preserve">Due to their intermittent nature, a high share of RES </w:t>
      </w:r>
      <w:proofErr w:type="spellStart"/>
      <w:r w:rsidRPr="00113D2C">
        <w:rPr>
          <w:lang w:val="en-US"/>
        </w:rPr>
        <w:t>i</w:t>
      </w:r>
      <w:proofErr w:type="spellEnd"/>
      <w:r w:rsidRPr="00113D2C">
        <w:t xml:space="preserve">n </w:t>
      </w:r>
      <w:r w:rsidRPr="00113D2C">
        <w:rPr>
          <w:lang w:val="en-US"/>
        </w:rPr>
        <w:t xml:space="preserve">the electricity mix reduces flexibility and security of supply </w:t>
      </w:r>
      <w:r w:rsidRPr="00113D2C">
        <w:rPr>
          <w:lang w:val="en-US"/>
        </w:rPr>
        <w:fldChar w:fldCharType="begin" w:fldLock="1"/>
      </w:r>
      <w:r w:rsidRPr="00113D2C">
        <w:rPr>
          <w:lang w:val="en-US"/>
        </w:rPr>
        <w:instrText>ADDIN CSL_CITATION {"citationItems":[{"id":"ITEM-1","itemData":{"abstract":"(2019). . , 12(2), 693-705.","author":[{"dropping-particle":"","family":"Clerjon","given":"A.","non-dropping-particle":"","parse-names":false,"suffix":""},{"dropping-particle":"","family":"Perdu","given":"F.","non-dropping-particle":"","parse-names":false,"suffix":""}],"container-title":"Energy &amp; Environmental Science","id":"ITEM-1","issue":"2","issued":{"date-parts":[["2019"]]},"page":"693-705","title":"Matching intermittency and electricity storage characteristics through time scale analysis: an energy return on investment comparison","type":"article-journal","volume":"12"},"uris":["http://www.mendeley.com/documents/?uuid=87ac76c2-ce26-4d7e-9db7-2a574588c0e3"]},{"id":"ITEM-2","itemData":{"DOI":"10.1007/s10640-016-0025-3","ISSN":"15731502","abstract":"This study analyzes the degree to which renewable energy policies, in particu-lar feed-in tariffs and renewable portfolio standards, facilitate renewable energy generation growth across a wide range of countries using an original cross-national dataset of 164 countries between 1990 and 2010. Results provide evidence that both policies are important predictors of renewable energy market growth. The dependent variable is operationalized first as the percentage of total electricity from renewable energy and second as the annual increase in total renewable energy generation in a country. Results are robust to several alternative model specifications including those that exclude hydroelectric generation in the construct of renewable energy. The degree to which feed-in tariffs are endogenous, however, is not conclusive. Besides the prominent role of these policies, results reveal that factors related to annual increases in renewable energy differ from those related to an overall transition toward greater reliance on renewable energy. This suggests that simply increasing renewable generation does not necessarily decrease reliance on fossil fuels or help countries make the shift to a clean energy economy.","author":[{"dropping-particle":"","family":"Carley","given":"Sanya","non-dropping-particle":"","parse-names":false,"suffix":""},{"dropping-particle":"","family":"Baldwin","given":"Elizabeth","non-dropping-particle":"","parse-names":false,"suffix":""},{"dropping-particle":"","family":"MacLean","given":"Lauren M.","non-dropping-particle":"","parse-names":false,"suffix":""},{"dropping-particle":"","family":"Brass","given":"Jennifer N.","non-dropping-particle":"","parse-names":false,"suffix":""}],"container-title":"Environmental and Resource Economics","id":"ITEM-2","issue":"2","issued":{"date-parts":[["2017"]]},"page":"397-440","publisher":"Springer Netherlands","title":"Global Expansion of Renewable Energy Generation: An Analysis of Policy Instruments","type":"article-journal","volume":"68"},"uris":["http://www.mendeley.com/documents/?uuid=c3c484d6-c4c8-47db-bd16-d9012b18a5df"]}],"mendeley":{"formattedCitation":"(Carley et al., 2017; Clerjon &amp; Perdu, 2019)","plainTextFormattedCitation":"(Carley et al., 2017; Clerjon &amp; Perdu, 2019)","previouslyFormattedCitation":"[2,8]"},"properties":{"noteIndex":0},"schema":"https://github.com/citation-style-language/schema/raw/master/csl-citation.json"}</w:instrText>
      </w:r>
      <w:r w:rsidRPr="00113D2C">
        <w:rPr>
          <w:lang w:val="en-US"/>
        </w:rPr>
        <w:fldChar w:fldCharType="separate"/>
      </w:r>
      <w:r w:rsidRPr="00113D2C">
        <w:t xml:space="preserve">(Carley et al., 2017; </w:t>
      </w:r>
      <w:proofErr w:type="spellStart"/>
      <w:r w:rsidRPr="00113D2C">
        <w:t>Clerjon</w:t>
      </w:r>
      <w:proofErr w:type="spellEnd"/>
      <w:r w:rsidRPr="00113D2C">
        <w:t xml:space="preserve"> &amp; Perdu, 2019)</w:t>
      </w:r>
      <w:r w:rsidRPr="00113D2C">
        <w:fldChar w:fldCharType="end"/>
      </w:r>
      <w:r w:rsidRPr="00113D2C">
        <w:t xml:space="preserve">, making it challenging to balance the market at all times. </w:t>
      </w:r>
    </w:p>
    <w:p w14:paraId="7AD76631" w14:textId="77777777" w:rsidR="00113D2C" w:rsidRPr="00113D2C" w:rsidRDefault="00113D2C" w:rsidP="00113D2C">
      <w:pPr>
        <w:pStyle w:val="BodyText2"/>
        <w:ind w:firstLine="0"/>
      </w:pPr>
    </w:p>
    <w:p w14:paraId="09A90938" w14:textId="2A29E6A5" w:rsidR="00113D2C" w:rsidRPr="00113D2C" w:rsidRDefault="00113D2C" w:rsidP="00113D2C">
      <w:pPr>
        <w:pStyle w:val="BodyText2"/>
        <w:ind w:firstLine="0"/>
        <w:rPr>
          <w:lang w:val="en-US"/>
        </w:rPr>
      </w:pPr>
      <w:r w:rsidRPr="00113D2C">
        <w:t xml:space="preserve">Energy storage has been introduced in the system to solve the mismatch between the daily and seasonal patterns of demand and generation </w:t>
      </w:r>
      <w:r w:rsidRPr="00113D2C">
        <w:fldChar w:fldCharType="begin" w:fldLock="1"/>
      </w:r>
      <w:r w:rsidRPr="00113D2C">
        <w:instrText>ADDIN CSL_CITATION {"citationItems":[{"id":"ITEM-1","itemData":{"abstract":"(2019). . , 8(7), 729.","author":[{"dropping-particle":"","family":"Zsiborács","given":"H.","non-dropping-particle":"","parse-names":false,"suffix":""},{"dropping-particle":"","family":"Baranyai","given":"N. H.","non-dropping-particle":"","parse-names":false,"suffix":""},{"dropping-particle":"","family":"Vincze, A., Zentkó","given":"L.","non-dropping-particle":"","parse-names":false,"suffix":""},{"dropping-particle":"","family":"Birkner","given":"Z.","non-dropping-particle":"","parse-names":false,"suffix":""},{"dropping-particle":"","family":"Máté","given":"K.","non-dropping-particle":"","parse-names":false,"suffix":""},{"dropping-particle":"","family":"Pintér","given":"G.","non-dropping-particle":"","parse-names":false,"suffix":""}],"container-title":"Electronics","id":"ITEM-1","issue":"7","issued":{"date-parts":[["2019"]]},"page":"729","title":"Intermittent Renewable Energy Sources: The Role of Energy Storage in the European Power System of 2040","type":"article-journal","volume":"8"},"uris":["http://www.mendeley.com/documents/?uuid=8fd1f920-7621-4f0e-8412-c34436ee4c3e"]},{"id":"ITEM-2","itemData":{"DOI":"10.1016/j.apenergy.2018.01.056","ISSN":"03062619","abstract":"Solar photovoltaic (PV) has the potential to make an important contribution to global sustainability, however, the misalignment between solar production and residential demand presents challenges for widespread PV adoption. Combining PV and storage is one way that this challenge can be overcome. In this work, we use one year of smart meter data from 369 consumers in three different US regions and calculate their economic benefits from both PV and coupled PV-battery systems. We consider a range of different electricity pricing schemes from the consumer regions, including both Feed-In-Tariff (FIT) and Net-Energy-Metering (NEM) policies. Significantly, our work uses real demand data, real PV generation data and optimizes each individual consumer's battery operation to minimize their electricity bill. Furthermore, we study the effect of batteries on consumer self-sufficiency, which is important because increasing self-sufficiency is a primary motivating factor behind battery adoption. We find that PV is profitable for the majority of consumers with most current pricing scenarios but PV-battery systems are always less profitable. However, batteries can provide very significant increases in self-sufficiency and we find that a majority of consumers can exceed 70% self-sufficiency with a 20 kW h battery and a PV system that produces the equivalent of their consumption. This is compared to an average self-sufficiency of 35% with PV only. Finally, recognizing that a number of factors could lead to profitable batteries in future, we study the sensitivity of battery profitability to future electricity prices in a FIT scenario, also accounting for future decreases in PV and battery costs. We find that if PV-battery systems are to become better investments than PV-only for the majority of consumers, retail electricity prices above $0.40/kW h and FIT rates below $0.05/kW h are a likely requirement.","author":[{"dropping-particle":"","family":"Barbour","given":"Edward","non-dropping-particle":"","parse-names":false,"suffix":""},{"dropping-particle":"","family":"González","given":"Marta C.","non-dropping-particle":"","parse-names":false,"suffix":""}],"container-title":"Applied Energy","id":"ITEM-2","issue":"August 2017","issued":{"date-parts":[["2018"]]},"page":"356-370","publisher":"Elsevier","title":"Projecting battery adoption in the prosumer era","type":"article-journal","volume":"215"},"uris":["http://www.mendeley.com/documents/?uuid=1f5a6533-f0cf-41d0-80ce-d340b6fa2122"]}],"mendeley":{"formattedCitation":"(Barbour &amp; González, 2018; Zsiborács et al., 2019)","plainTextFormattedCitation":"(Barbour &amp; González, 2018; Zsiborács et al., 2019)","previouslyFormattedCitation":"[9,10]"},"properties":{"noteIndex":0},"schema":"https://github.com/citation-style-language/schema/raw/master/csl-citation.json"}</w:instrText>
      </w:r>
      <w:r w:rsidRPr="00113D2C">
        <w:fldChar w:fldCharType="separate"/>
      </w:r>
      <w:r w:rsidRPr="00113D2C">
        <w:t xml:space="preserve">(Barbour &amp; González, 2018; </w:t>
      </w:r>
      <w:proofErr w:type="spellStart"/>
      <w:r w:rsidRPr="00113D2C">
        <w:t>Zsiborács</w:t>
      </w:r>
      <w:proofErr w:type="spellEnd"/>
      <w:r w:rsidRPr="00113D2C">
        <w:t xml:space="preserve"> et al., 2019)</w:t>
      </w:r>
      <w:r w:rsidRPr="00113D2C">
        <w:fldChar w:fldCharType="end"/>
      </w:r>
      <w:r w:rsidRPr="00113D2C">
        <w:t xml:space="preserve">. Today the most popular energy storage technology is </w:t>
      </w:r>
      <w:proofErr w:type="gramStart"/>
      <w:r w:rsidRPr="00113D2C">
        <w:rPr>
          <w:lang w:val="en-US"/>
        </w:rPr>
        <w:t>hydro-storage</w:t>
      </w:r>
      <w:proofErr w:type="gramEnd"/>
      <w:r w:rsidRPr="00113D2C">
        <w:rPr>
          <w:lang w:val="en-US"/>
        </w:rPr>
        <w:t xml:space="preserve">. Conventional hydro-storage plants rely on natural water inflows; adding pumping mitigates the limitation and variability of natural inflows </w:t>
      </w:r>
      <w:r w:rsidRPr="00113D2C">
        <w:rPr>
          <w:lang w:val="en-US"/>
        </w:rPr>
        <w:fldChar w:fldCharType="begin" w:fldLock="1"/>
      </w:r>
      <w:r w:rsidRPr="00113D2C">
        <w:rPr>
          <w:lang w:val="en-US"/>
        </w:rPr>
        <w:instrText>ADDIN CSL_CITATION {"citationItems":[{"id":"ITEM-1","itemData":{"abstract":"(2010). ., 14(4), 1293-1302.","author":[{"dropping-particle":"","family":"Deane","given":"J. P.","non-dropping-particle":"","parse-names":false,"suffix":""},{"dropping-particle":"","family":"Gallachóir","given":"B. Ó.","non-dropping-particle":"","parse-names":false,"suffix":""},{"dropping-particle":"","family":"McKeogh","given":"E. J.","non-dropping-particle":"","parse-names":false,"suffix":""}],"container-title":"Renewable and Sustainable Energy Reviews","id":"ITEM-1","issue":"4","issued":{"date-parts":[["2010"]]},"page":"1293-1302","title":"Techno-economic review of existing and new pumped hydro energy storage plant","type":"article-journal","volume":"14"},"uris":["http://www.mendeley.com/documents/?uuid=c5522075-2bf5-46b7-ac6a-ac4391326a80"]}],"mendeley":{"formattedCitation":"(Deane, Gallachóir, &amp; McKeogh, 2010)","plainTextFormattedCitation":"(Deane, Gallachóir, &amp; McKeogh, 2010)","previouslyFormattedCitation":"[11]"},"properties":{"noteIndex":0},"schema":"https://github.com/citation-style-language/schema/raw/master/csl-citation.json"}</w:instrText>
      </w:r>
      <w:r w:rsidRPr="00113D2C">
        <w:rPr>
          <w:lang w:val="en-US"/>
        </w:rPr>
        <w:fldChar w:fldCharType="separate"/>
      </w:r>
      <w:r w:rsidRPr="00113D2C">
        <w:rPr>
          <w:lang w:val="en-US"/>
        </w:rPr>
        <w:t xml:space="preserve">(Deane, </w:t>
      </w:r>
      <w:proofErr w:type="spellStart"/>
      <w:r w:rsidRPr="00113D2C">
        <w:rPr>
          <w:lang w:val="en-US"/>
        </w:rPr>
        <w:t>Gallachóir</w:t>
      </w:r>
      <w:proofErr w:type="spellEnd"/>
      <w:r w:rsidRPr="00113D2C">
        <w:rPr>
          <w:lang w:val="en-US"/>
        </w:rPr>
        <w:t xml:space="preserve">, &amp; </w:t>
      </w:r>
      <w:proofErr w:type="spellStart"/>
      <w:r w:rsidRPr="00113D2C">
        <w:rPr>
          <w:lang w:val="en-US"/>
        </w:rPr>
        <w:t>McKeogh</w:t>
      </w:r>
      <w:proofErr w:type="spellEnd"/>
      <w:r w:rsidRPr="00113D2C">
        <w:rPr>
          <w:lang w:val="en-US"/>
        </w:rPr>
        <w:t>, 2010)</w:t>
      </w:r>
      <w:r w:rsidRPr="00113D2C">
        <w:fldChar w:fldCharType="end"/>
      </w:r>
      <w:r w:rsidRPr="00113D2C">
        <w:rPr>
          <w:lang w:val="en-US"/>
        </w:rPr>
        <w:t xml:space="preserve">. However, there are some future challenges for hydro-storage. </w:t>
      </w:r>
    </w:p>
    <w:p w14:paraId="24821BDD" w14:textId="77777777" w:rsidR="00113D2C" w:rsidRPr="00113D2C" w:rsidRDefault="00113D2C" w:rsidP="00113D2C">
      <w:pPr>
        <w:pStyle w:val="BodyText2"/>
        <w:ind w:firstLine="0"/>
        <w:rPr>
          <w:lang w:val="en-US"/>
        </w:rPr>
      </w:pPr>
    </w:p>
    <w:p w14:paraId="5B5B3720" w14:textId="34786435" w:rsidR="00113D2C" w:rsidRPr="00113D2C" w:rsidRDefault="00113D2C" w:rsidP="00113D2C">
      <w:pPr>
        <w:pStyle w:val="BodyText2"/>
        <w:ind w:firstLine="0"/>
        <w:rPr>
          <w:lang w:val="en-US"/>
        </w:rPr>
      </w:pPr>
      <w:r w:rsidRPr="00113D2C">
        <w:rPr>
          <w:lang w:val="en-US"/>
        </w:rPr>
        <w:t xml:space="preserve">Our study focuses on Switzerland. Some studies suggest that climate change will affect natural inflows (for run of rivers and hydro-storage). It is expected that run of river generation will increase by 2% (2050) before decreasing to only 0.5% (2070) above current level </w:t>
      </w:r>
      <w:r w:rsidRPr="00113D2C">
        <w:rPr>
          <w:lang w:val="en-US"/>
        </w:rPr>
        <w:fldChar w:fldCharType="begin" w:fldLock="1"/>
      </w:r>
      <w:r w:rsidRPr="00113D2C">
        <w:rPr>
          <w:lang w:val="en-US"/>
        </w:rPr>
        <w:instrText>ADDIN CSL_CITATION {"citationItems":[{"id":"ITEM-1","itemData":{"DOI":"10.1029/2011WR010733","ISSN":"00431397","abstract":"Hydropower accounts for about 20% of the worldwide electrical power production. In mountainous regions this ratio is significantly higher. In this study we present how future projected climatic forcing, as described in regional climate models (RCMs), will affect water resources and subsequently hydropower production in downstream hydropower plants in a glacierized alpine valley (Vispa valley, Switzerland, 778 km 2). In order to estimate future runoff generation and hydropower production, we used error-corrected and downscaled climate scenarios from regional climate models (RCMs) as well as glacier retreat projections from a dynamic glacier model and coupled them to a physically based hydrological model. Furthermore, we implemented all relevant hydropower operational rules in the hydrological model to estimate future hydropower production based on the runoff projections. The uncertainty of each modeling component (climate projections, glacier retreat, and hydrological projection) and the resulting propagation of uncertainty to the projected future water availability for energy production were assessed using an analysis of variance. While the uncertainty of the projections is considerable, the consistent trends observed in all projections indicate significant changes to the current situation. The model results indicate that future melt-and rainfall-runoff will increase during spring but decline during summer. The study concludes by outlining the most relevant expected changes for hydropower operations. Copyright 2012 by the American Geophysical Union.","author":[{"dropping-particle":"","family":"Finger","given":"David","non-dropping-particle":"","parse-names":false,"suffix":""},{"dropping-particle":"","family":"Heinrich","given":"Georg","non-dropping-particle":"","parse-names":false,"suffix":""},{"dropping-particle":"","family":"Gobiet","given":"Andreas","non-dropping-particle":"","parse-names":false,"suffix":""},{"dropping-particle":"","family":"Bauder","given":"Andreas","non-dropping-particle":"","parse-names":false,"suffix":""}],"container-title":"Water Resources Research","id":"ITEM-1","issue":"2","issued":{"date-parts":[["2012"]]},"page":"1-20","title":"Projections of future water resources and their uncertainty in a glacierized catchment in the Swiss Alps and the subsequent effects on hydropower production during the 21st century","type":"article-journal","volume":"48"},"uris":["http://www.mendeley.com/documents/?uuid=53c60227-735a-4649-828c-965c64581d26"]}],"mendeley":{"formattedCitation":"(Finger, Heinrich, Gobiet, &amp; Bauder, 2012)","plainTextFormattedCitation":"(Finger, Heinrich, Gobiet, &amp; Bauder, 2012)","previouslyFormattedCitation":"[12]"},"properties":{"noteIndex":0},"schema":"https://github.com/citation-style-language/schema/raw/master/csl-citation.json"}</w:instrText>
      </w:r>
      <w:r w:rsidRPr="00113D2C">
        <w:rPr>
          <w:lang w:val="en-US"/>
        </w:rPr>
        <w:fldChar w:fldCharType="separate"/>
      </w:r>
      <w:r w:rsidRPr="00113D2C">
        <w:rPr>
          <w:lang w:val="en-US"/>
        </w:rPr>
        <w:t xml:space="preserve">(Finger, Heinrich, </w:t>
      </w:r>
      <w:proofErr w:type="spellStart"/>
      <w:r w:rsidRPr="00113D2C">
        <w:rPr>
          <w:lang w:val="en-US"/>
        </w:rPr>
        <w:t>Gobiet</w:t>
      </w:r>
      <w:proofErr w:type="spellEnd"/>
      <w:r w:rsidRPr="00113D2C">
        <w:rPr>
          <w:lang w:val="en-US"/>
        </w:rPr>
        <w:t xml:space="preserve">, &amp; </w:t>
      </w:r>
      <w:proofErr w:type="spellStart"/>
      <w:r w:rsidRPr="00113D2C">
        <w:rPr>
          <w:lang w:val="en-US"/>
        </w:rPr>
        <w:t>Bauder</w:t>
      </w:r>
      <w:proofErr w:type="spellEnd"/>
      <w:r w:rsidRPr="00113D2C">
        <w:rPr>
          <w:lang w:val="en-US"/>
        </w:rPr>
        <w:t>, 2012)</w:t>
      </w:r>
      <w:r w:rsidRPr="00113D2C">
        <w:fldChar w:fldCharType="end"/>
      </w:r>
      <w:r w:rsidRPr="00113D2C">
        <w:rPr>
          <w:lang w:val="en-US"/>
        </w:rPr>
        <w:t xml:space="preserve">. Meanwhile, over the same period reservoirs are expected to receive less water in summer and more during fall. </w:t>
      </w:r>
      <w:proofErr w:type="spellStart"/>
      <w:r w:rsidRPr="00113D2C">
        <w:rPr>
          <w:lang w:val="en-US"/>
        </w:rPr>
        <w:t>Gaudard</w:t>
      </w:r>
      <w:proofErr w:type="spellEnd"/>
      <w:r w:rsidRPr="00113D2C">
        <w:rPr>
          <w:lang w:val="en-US"/>
        </w:rPr>
        <w:t xml:space="preserve"> et al. (2014) conclude that, by 2050, hydro-storage plants will increase their generation by 0.2%, but by 2070 their total generation will decrease by 10.3%. Overall, the reduction in hydro-generation by 2070 is expected to be around 10.1%, increasing the challenge of replacing nuclear in Switzerland. Another effect to be considered is the decrease in the reservoir capacity due to sedimentation.</w:t>
      </w:r>
    </w:p>
    <w:p w14:paraId="276F0D8B" w14:textId="77777777" w:rsidR="00113D2C" w:rsidRPr="00113D2C" w:rsidRDefault="00113D2C" w:rsidP="00113D2C">
      <w:pPr>
        <w:pStyle w:val="BodyText2"/>
        <w:ind w:firstLine="0"/>
        <w:rPr>
          <w:bCs/>
        </w:rPr>
      </w:pPr>
    </w:p>
    <w:p w14:paraId="2BEB13A2" w14:textId="2E73B18C" w:rsidR="00113D2C" w:rsidRPr="00113D2C" w:rsidRDefault="00113D2C" w:rsidP="00113D2C">
      <w:pPr>
        <w:pStyle w:val="BodyText2"/>
        <w:ind w:firstLine="0"/>
        <w:rPr>
          <w:lang w:val="en-US"/>
        </w:rPr>
      </w:pPr>
      <w:r w:rsidRPr="00113D2C">
        <w:rPr>
          <w:lang w:val="en-US"/>
        </w:rPr>
        <w:t xml:space="preserve">The aim of this paper is to explore different policies to mitigate the effects of climate change. We develop a stylized model of an electricity system which consists of a technology that is being phasing-out (e.g., nuclear), an intermittent technology (PV) and base load generation (e.g., run-of-river), as well as an energy storage technology (pumped hydro-storage). We calibrate this model using Swiss data and we explore different energy policies to understand how this kind of system can achieve a transition towards 100% green generation. We also consider a change in demand pattern: climate change is expected to generate more extreme summers, which will increase demand for air conditioning, while in winter demand should decrease due to lower consumption of electricity for heating. Our model also assumes an increase in electric vehicle adoption, leading to a substantial growth in demand over the simulation period. </w:t>
      </w:r>
    </w:p>
    <w:p w14:paraId="1B86E4D5" w14:textId="77777777" w:rsidR="00113D2C" w:rsidRPr="00113D2C" w:rsidRDefault="00113D2C" w:rsidP="00113D2C">
      <w:pPr>
        <w:pStyle w:val="BodyText2"/>
        <w:ind w:firstLine="0"/>
      </w:pPr>
    </w:p>
    <w:p w14:paraId="121B0A97" w14:textId="2105758E" w:rsidR="00DC69F1" w:rsidRPr="00D767DA" w:rsidRDefault="00113D2C" w:rsidP="00113D2C">
      <w:pPr>
        <w:pStyle w:val="BodyText2"/>
        <w:ind w:firstLine="0"/>
        <w:rPr>
          <w:i/>
        </w:rPr>
      </w:pPr>
      <w:r w:rsidRPr="00113D2C">
        <w:t xml:space="preserve">Our research aims to understand what type of governmental intervention is required to successfully manage the simultaneous increase in demand and reduction in natural resources, being aware that </w:t>
      </w:r>
      <w:proofErr w:type="gramStart"/>
      <w:r w:rsidRPr="00113D2C">
        <w:t>both of these</w:t>
      </w:r>
      <w:proofErr w:type="gramEnd"/>
      <w:r w:rsidRPr="00113D2C">
        <w:t xml:space="preserve"> are subject to a high degree of uncertainty. </w:t>
      </w:r>
    </w:p>
    <w:p w14:paraId="327207A4" w14:textId="77777777" w:rsidR="00DC69F1" w:rsidRPr="00A247C7" w:rsidRDefault="00DC69F1">
      <w:pPr>
        <w:pStyle w:val="Heading2"/>
        <w:rPr>
          <w:rFonts w:ascii="Times New Roman" w:hAnsi="Times New Roman"/>
          <w:i w:val="0"/>
          <w:sz w:val="20"/>
        </w:rPr>
      </w:pPr>
    </w:p>
    <w:p w14:paraId="5B9BEEAD" w14:textId="77777777" w:rsidR="00DC69F1" w:rsidRPr="00D767DA" w:rsidRDefault="00DC69F1">
      <w:pPr>
        <w:pStyle w:val="Heading2"/>
        <w:rPr>
          <w:i w:val="0"/>
          <w:sz w:val="24"/>
          <w:szCs w:val="24"/>
        </w:rPr>
      </w:pPr>
      <w:r w:rsidRPr="00D767DA">
        <w:rPr>
          <w:i w:val="0"/>
          <w:sz w:val="24"/>
          <w:szCs w:val="24"/>
        </w:rPr>
        <w:t>Methods</w:t>
      </w:r>
    </w:p>
    <w:p w14:paraId="6F736704" w14:textId="77777777" w:rsidR="00113D2C" w:rsidRDefault="00113D2C" w:rsidP="00113D2C">
      <w:pPr>
        <w:pStyle w:val="BodyText2"/>
        <w:spacing w:after="200"/>
        <w:ind w:firstLine="0"/>
        <w:rPr>
          <w:highlight w:val="yellow"/>
        </w:rPr>
      </w:pPr>
    </w:p>
    <w:p w14:paraId="5688282D" w14:textId="77777777" w:rsidR="00113D2C" w:rsidRPr="00C275A8" w:rsidRDefault="00113D2C" w:rsidP="00C275A8">
      <w:pPr>
        <w:jc w:val="both"/>
        <w:rPr>
          <w:bCs/>
          <w:color w:val="000000" w:themeColor="text1"/>
          <w:lang w:val="en-US"/>
        </w:rPr>
      </w:pPr>
      <w:r w:rsidRPr="00C275A8">
        <w:rPr>
          <w:color w:val="000000" w:themeColor="text1"/>
          <w:lang w:val="en-US"/>
        </w:rPr>
        <w:t xml:space="preserve">We propose a System Dynamics (SD) based model. This methodology is useful to incorporate causalities, feedbacks and delays between variables </w:t>
      </w:r>
      <w:r w:rsidRPr="00C275A8">
        <w:rPr>
          <w:color w:val="000000" w:themeColor="text1"/>
          <w:lang w:val="en-US"/>
        </w:rPr>
        <w:fldChar w:fldCharType="begin" w:fldLock="1"/>
      </w:r>
      <w:r w:rsidRPr="00C275A8">
        <w:rPr>
          <w:color w:val="000000" w:themeColor="text1"/>
          <w:lang w:val="en-US"/>
        </w:rPr>
        <w:instrText>ADDIN CSL_CITATION {"citationItems":[{"id":"ITEM-1","itemData":{"ISBN":"0470012862, 9780470012864","author":[{"dropping-particle":"","family":"Morecroft","given":"John","non-dropping-particle":"","parse-names":false,"suffix":""}],"id":"ITEM-1","issued":{"date-parts":[["2007"]]},"number-of-pages":"464","publisher":"John Wiley &amp; Sons","title":"Strategic Modelling and Business Dynamics: A Feedback Systems Approach","type":"book"},"uris":["http://www.mendeley.com/documents/?uuid=d16aace8-88b6-498a-9e9b-56db93ffa3c0"]},{"id":"ITEM-2","itemData":{"author":[{"dropping-particle":"","family":"Sterman","given":"J.D.","non-dropping-particle":"","parse-names":false,"suffix":""}],"edition":"McGraw Hil","id":"ITEM-2","issued":{"date-parts":[["2000"]]},"publisher-place":"New York","title":"Business Dynamics","type":"book"},"uris":["http://www.mendeley.com/documents/?uuid=375ee065-8cd6-421c-b135-79c7931348c0"]}],"mendeley":{"formattedCitation":"(Morecroft, 2007; Sterman, 2000)","plainTextFormattedCitation":"(Morecroft, 2007; Sterman, 2000)","previouslyFormattedCitation":"[15,16]"},"properties":{"noteIndex":0},"schema":"https://github.com/citation-style-language/schema/raw/master/csl-citation.json"}</w:instrText>
      </w:r>
      <w:r w:rsidRPr="00C275A8">
        <w:rPr>
          <w:color w:val="000000" w:themeColor="text1"/>
          <w:lang w:val="en-US"/>
        </w:rPr>
        <w:fldChar w:fldCharType="separate"/>
      </w:r>
      <w:r w:rsidRPr="00C275A8">
        <w:rPr>
          <w:noProof/>
          <w:color w:val="000000" w:themeColor="text1"/>
          <w:lang w:val="en-US"/>
        </w:rPr>
        <w:t>(Morecroft, 2007; Sterman, 2000)</w:t>
      </w:r>
      <w:r w:rsidRPr="00C275A8">
        <w:rPr>
          <w:color w:val="000000" w:themeColor="text1"/>
          <w:lang w:val="en-US"/>
        </w:rPr>
        <w:fldChar w:fldCharType="end"/>
      </w:r>
      <w:r w:rsidRPr="00C275A8">
        <w:rPr>
          <w:color w:val="000000" w:themeColor="text1"/>
          <w:lang w:val="en-US"/>
        </w:rPr>
        <w:t xml:space="preserve">, which allows understanding the behavior of a system by studying its structure. SD relies on two main building blocks: levels (state variables which accumulate information or material, referred to as stocks) and flows (which modify the levels). </w:t>
      </w:r>
      <w:r w:rsidRPr="00C275A8">
        <w:rPr>
          <w:lang w:val="en-US"/>
        </w:rPr>
        <w:t xml:space="preserve">The other elements are parameters or auxiliary variables used to make calculations and represent the information network. </w:t>
      </w:r>
      <w:r w:rsidRPr="00C275A8">
        <w:rPr>
          <w:color w:val="000000" w:themeColor="text1"/>
          <w:lang w:val="en-US"/>
        </w:rPr>
        <w:t>SD is based on first-order non-linear differential equations.</w:t>
      </w:r>
      <w:r w:rsidRPr="00C275A8">
        <w:rPr>
          <w:bCs/>
          <w:color w:val="000000" w:themeColor="text1"/>
          <w:lang w:val="en-US"/>
        </w:rPr>
        <w:t xml:space="preserve"> </w:t>
      </w:r>
    </w:p>
    <w:p w14:paraId="407A3D1C" w14:textId="77777777" w:rsidR="00113D2C" w:rsidRPr="00C275A8" w:rsidRDefault="00113D2C" w:rsidP="00C275A8">
      <w:pPr>
        <w:jc w:val="both"/>
        <w:rPr>
          <w:bCs/>
          <w:color w:val="000000" w:themeColor="text1"/>
          <w:lang w:val="en-US"/>
        </w:rPr>
      </w:pPr>
    </w:p>
    <w:p w14:paraId="2C873131" w14:textId="77777777" w:rsidR="00113D2C" w:rsidRPr="00C275A8" w:rsidRDefault="00113D2C" w:rsidP="00C275A8">
      <w:pPr>
        <w:jc w:val="both"/>
        <w:rPr>
          <w:lang w:val="en-US"/>
        </w:rPr>
      </w:pPr>
      <w:r w:rsidRPr="00C275A8">
        <w:rPr>
          <w:lang w:val="en-US"/>
        </w:rPr>
        <w:t>Our analysis takes a high-level view; we take an hourly approach, using a typical day for each month to analyze demand and supply. The model considers two types of hydro generation: from natural inflows (</w:t>
      </w:r>
      <w:proofErr w:type="spellStart"/>
      <w:r w:rsidRPr="00C275A8">
        <w:rPr>
          <w:lang w:val="en-US"/>
        </w:rPr>
        <w:t>Hn</w:t>
      </w:r>
      <w:proofErr w:type="spellEnd"/>
      <w:r w:rsidRPr="00C275A8">
        <w:rPr>
          <w:lang w:val="en-US"/>
        </w:rPr>
        <w:t>) and pumped water (Hp). Figure 1 provides an overview of the model; our key state variables are installed capacity of PV and pumps. A curved arrow represents a causal link between two variables. The “+” (“-”) next to an arrowhead indicates a positive (negative) causal relationship. The clockwise arrow with a B inside indicates a balancing loop. If the electricity price increases, PV becomes more profitable, inducing investments in PV capacity; this leads to more PV generation and thus decreasing prices.</w:t>
      </w:r>
    </w:p>
    <w:p w14:paraId="5976EC5B" w14:textId="77777777" w:rsidR="00113D2C" w:rsidRPr="00C275A8" w:rsidRDefault="00113D2C" w:rsidP="00C275A8">
      <w:pPr>
        <w:jc w:val="both"/>
        <w:rPr>
          <w:color w:val="000000" w:themeColor="text1"/>
          <w:lang w:val="en-US"/>
        </w:rPr>
      </w:pPr>
      <w:r w:rsidRPr="00C275A8">
        <w:rPr>
          <w:noProof/>
          <w:color w:val="000000" w:themeColor="text1"/>
          <w:lang w:val="fr-CH" w:eastAsia="fr-CH"/>
        </w:rPr>
        <w:drawing>
          <wp:inline distT="0" distB="0" distL="0" distR="0" wp14:anchorId="0380A252" wp14:editId="78DFE353">
            <wp:extent cx="4976403" cy="25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19743" b="20767"/>
                    <a:stretch/>
                  </pic:blipFill>
                  <pic:spPr bwMode="auto">
                    <a:xfrm>
                      <a:off x="0" y="0"/>
                      <a:ext cx="4976403"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58C4D219" w14:textId="7D8CFE7C" w:rsidR="00DC69F1" w:rsidRPr="00A247C7" w:rsidRDefault="00113D2C" w:rsidP="00C275A8">
      <w:pPr>
        <w:pStyle w:val="BodyText2"/>
        <w:ind w:firstLine="0"/>
        <w:rPr>
          <w:i/>
        </w:rPr>
      </w:pPr>
      <w:r w:rsidRPr="00C275A8">
        <w:rPr>
          <w:color w:val="000000" w:themeColor="text1"/>
          <w:lang w:val="en-US"/>
        </w:rPr>
        <w:t xml:space="preserve">Figure 1. Main variables and relationships of the proposed model </w:t>
      </w:r>
    </w:p>
    <w:p w14:paraId="11BCF355" w14:textId="77777777" w:rsidR="00DC69F1" w:rsidRPr="00D767DA" w:rsidRDefault="00DC69F1" w:rsidP="00DC69F1">
      <w:pPr>
        <w:pStyle w:val="Heading2"/>
        <w:rPr>
          <w:i w:val="0"/>
          <w:sz w:val="24"/>
          <w:szCs w:val="24"/>
        </w:rPr>
      </w:pPr>
      <w:r w:rsidRPr="00D767DA">
        <w:rPr>
          <w:i w:val="0"/>
          <w:sz w:val="24"/>
          <w:szCs w:val="24"/>
        </w:rPr>
        <w:t>Results</w:t>
      </w:r>
    </w:p>
    <w:p w14:paraId="18CFCD16" w14:textId="6B5462AB" w:rsidR="00DC69F1" w:rsidRPr="00C275A8" w:rsidRDefault="00DC69F1" w:rsidP="00C275A8">
      <w:pPr>
        <w:pStyle w:val="BodyText2"/>
        <w:ind w:firstLine="0"/>
        <w:rPr>
          <w:color w:val="000000" w:themeColor="text1"/>
          <w:lang w:val="en-US"/>
        </w:rPr>
      </w:pPr>
    </w:p>
    <w:p w14:paraId="63627523" w14:textId="77777777" w:rsidR="00C275A8" w:rsidRPr="00C275A8" w:rsidRDefault="00C275A8" w:rsidP="00C275A8">
      <w:pPr>
        <w:jc w:val="both"/>
        <w:rPr>
          <w:color w:val="000000" w:themeColor="text1"/>
          <w:lang w:val="en-US"/>
        </w:rPr>
      </w:pPr>
      <w:r w:rsidRPr="00C275A8">
        <w:rPr>
          <w:color w:val="000000" w:themeColor="text1"/>
          <w:lang w:val="en-US"/>
        </w:rPr>
        <w:t xml:space="preserve">The meteorological forecast point to the danger of a boiling frog effect: the increase in inflows from 2030 to 2050 risks inducing a false sense of security, enticing policy makers to postpone unpopular interventions. This could lead to a lack of preparedness to face the second phase of climate change (2050-2070). We currently are in the process of calibrating the model and the different demand and climate scenarios finetuning. Preliminary runs confirm our hypothesis that without governmental interventions, the situation could worsen sharply from 2050 onwards. </w:t>
      </w:r>
    </w:p>
    <w:p w14:paraId="76FB8A39" w14:textId="77777777" w:rsidR="00DC69F1" w:rsidRPr="00D767DA" w:rsidRDefault="00DC69F1">
      <w:pPr>
        <w:pStyle w:val="Heading2"/>
        <w:jc w:val="both"/>
        <w:rPr>
          <w:rFonts w:ascii="Times New Roman" w:hAnsi="Times New Roman"/>
          <w:b w:val="0"/>
          <w:i w:val="0"/>
          <w:sz w:val="20"/>
        </w:rPr>
      </w:pPr>
    </w:p>
    <w:p w14:paraId="2AF2A69E" w14:textId="77777777" w:rsidR="00DC69F1" w:rsidRPr="00D767DA" w:rsidRDefault="00DC69F1">
      <w:pPr>
        <w:pStyle w:val="Heading2"/>
        <w:jc w:val="both"/>
        <w:rPr>
          <w:i w:val="0"/>
          <w:sz w:val="24"/>
          <w:szCs w:val="24"/>
        </w:rPr>
      </w:pPr>
      <w:r w:rsidRPr="00D767DA">
        <w:rPr>
          <w:i w:val="0"/>
          <w:sz w:val="24"/>
          <w:szCs w:val="24"/>
        </w:rPr>
        <w:t>Conclusions</w:t>
      </w:r>
    </w:p>
    <w:p w14:paraId="34FC9F11" w14:textId="77777777" w:rsidR="00C275A8" w:rsidRDefault="00C275A8" w:rsidP="00C275A8">
      <w:pPr>
        <w:pStyle w:val="Heading2"/>
        <w:spacing w:before="0" w:after="0" w:line="480" w:lineRule="auto"/>
        <w:jc w:val="both"/>
        <w:rPr>
          <w:rFonts w:ascii="Times New Roman" w:hAnsi="Times New Roman"/>
          <w:b w:val="0"/>
          <w:i w:val="0"/>
          <w:color w:val="000000" w:themeColor="text1"/>
          <w:sz w:val="20"/>
          <w:lang w:val="en-US"/>
        </w:rPr>
      </w:pPr>
    </w:p>
    <w:p w14:paraId="489C7351" w14:textId="789987D3" w:rsidR="00C275A8" w:rsidRPr="00C275A8" w:rsidRDefault="00C275A8" w:rsidP="00C275A8">
      <w:pPr>
        <w:pStyle w:val="Heading2"/>
        <w:spacing w:before="0" w:after="0"/>
        <w:jc w:val="both"/>
        <w:rPr>
          <w:rFonts w:ascii="Times New Roman" w:hAnsi="Times New Roman"/>
          <w:b w:val="0"/>
          <w:i w:val="0"/>
          <w:color w:val="000000" w:themeColor="text1"/>
          <w:sz w:val="20"/>
          <w:lang w:val="en-US"/>
        </w:rPr>
      </w:pPr>
      <w:r w:rsidRPr="00C275A8">
        <w:rPr>
          <w:rFonts w:ascii="Times New Roman" w:hAnsi="Times New Roman"/>
          <w:b w:val="0"/>
          <w:i w:val="0"/>
          <w:color w:val="000000" w:themeColor="text1"/>
          <w:sz w:val="20"/>
          <w:lang w:val="en-US"/>
        </w:rPr>
        <w:t xml:space="preserve">We develop a stylized SD model to examine the effects of climate change in the energy transition. The model will enable us to analyze the possible outcomes of a system (e.g., Switzerland) that relies on hydro and PV for different climate change scenarios, which consider lower water resources, shifts in seasonal and hourly demand patterns and an increase in demand due to, among others, a transition towards electric transportation. </w:t>
      </w:r>
    </w:p>
    <w:p w14:paraId="17C575DF" w14:textId="77777777" w:rsidR="00DC69F1" w:rsidRPr="00C275A8" w:rsidRDefault="00DC69F1">
      <w:pPr>
        <w:pStyle w:val="Heading2"/>
        <w:rPr>
          <w:rFonts w:ascii="Times New Roman" w:hAnsi="Times New Roman"/>
          <w:i w:val="0"/>
          <w:sz w:val="20"/>
          <w:lang w:val="en-US"/>
        </w:rPr>
      </w:pPr>
    </w:p>
    <w:p w14:paraId="34D1F765" w14:textId="77777777" w:rsidR="00DC69F1" w:rsidRDefault="00DC69F1" w:rsidP="00C275A8">
      <w:pPr>
        <w:pStyle w:val="BodyText2"/>
        <w:spacing w:after="200"/>
        <w:ind w:firstLine="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C3CC4" w14:textId="77777777" w:rsidR="00683919" w:rsidRDefault="00683919">
      <w:r>
        <w:separator/>
      </w:r>
    </w:p>
  </w:endnote>
  <w:endnote w:type="continuationSeparator" w:id="0">
    <w:p w14:paraId="00314583" w14:textId="77777777" w:rsidR="00683919" w:rsidRDefault="0068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04E2" w14:textId="77777777" w:rsidR="00683919" w:rsidRDefault="00683919">
      <w:r>
        <w:separator/>
      </w:r>
    </w:p>
  </w:footnote>
  <w:footnote w:type="continuationSeparator" w:id="0">
    <w:p w14:paraId="71F4CE6C" w14:textId="77777777" w:rsidR="00683919" w:rsidRDefault="0068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C1AB"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3BFEDBEA">
      <w:start w:val="1"/>
      <w:numFmt w:val="bullet"/>
      <w:lvlText w:val=""/>
      <w:lvlJc w:val="left"/>
      <w:pPr>
        <w:tabs>
          <w:tab w:val="num" w:pos="720"/>
        </w:tabs>
        <w:ind w:left="720" w:hanging="360"/>
      </w:pPr>
      <w:rPr>
        <w:rFonts w:ascii="Symbol" w:hAnsi="Symbol" w:hint="default"/>
      </w:rPr>
    </w:lvl>
    <w:lvl w:ilvl="1" w:tplc="489E2E2E">
      <w:start w:val="1"/>
      <w:numFmt w:val="bullet"/>
      <w:lvlText w:val="o"/>
      <w:lvlJc w:val="left"/>
      <w:pPr>
        <w:tabs>
          <w:tab w:val="num" w:pos="1440"/>
        </w:tabs>
        <w:ind w:left="1440" w:hanging="360"/>
      </w:pPr>
      <w:rPr>
        <w:rFonts w:ascii="Courier New" w:hAnsi="Courier New" w:hint="default"/>
      </w:rPr>
    </w:lvl>
    <w:lvl w:ilvl="2" w:tplc="E764635E" w:tentative="1">
      <w:start w:val="1"/>
      <w:numFmt w:val="bullet"/>
      <w:lvlText w:val=""/>
      <w:lvlJc w:val="left"/>
      <w:pPr>
        <w:tabs>
          <w:tab w:val="num" w:pos="2160"/>
        </w:tabs>
        <w:ind w:left="2160" w:hanging="360"/>
      </w:pPr>
      <w:rPr>
        <w:rFonts w:ascii="Wingdings" w:hAnsi="Wingdings" w:hint="default"/>
      </w:rPr>
    </w:lvl>
    <w:lvl w:ilvl="3" w:tplc="92E267FA" w:tentative="1">
      <w:start w:val="1"/>
      <w:numFmt w:val="bullet"/>
      <w:lvlText w:val=""/>
      <w:lvlJc w:val="left"/>
      <w:pPr>
        <w:tabs>
          <w:tab w:val="num" w:pos="2880"/>
        </w:tabs>
        <w:ind w:left="2880" w:hanging="360"/>
      </w:pPr>
      <w:rPr>
        <w:rFonts w:ascii="Symbol" w:hAnsi="Symbol" w:hint="default"/>
      </w:rPr>
    </w:lvl>
    <w:lvl w:ilvl="4" w:tplc="487C0BD2" w:tentative="1">
      <w:start w:val="1"/>
      <w:numFmt w:val="bullet"/>
      <w:lvlText w:val="o"/>
      <w:lvlJc w:val="left"/>
      <w:pPr>
        <w:tabs>
          <w:tab w:val="num" w:pos="3600"/>
        </w:tabs>
        <w:ind w:left="3600" w:hanging="360"/>
      </w:pPr>
      <w:rPr>
        <w:rFonts w:ascii="Courier New" w:hAnsi="Courier New" w:hint="default"/>
      </w:rPr>
    </w:lvl>
    <w:lvl w:ilvl="5" w:tplc="E886164C" w:tentative="1">
      <w:start w:val="1"/>
      <w:numFmt w:val="bullet"/>
      <w:lvlText w:val=""/>
      <w:lvlJc w:val="left"/>
      <w:pPr>
        <w:tabs>
          <w:tab w:val="num" w:pos="4320"/>
        </w:tabs>
        <w:ind w:left="4320" w:hanging="360"/>
      </w:pPr>
      <w:rPr>
        <w:rFonts w:ascii="Wingdings" w:hAnsi="Wingdings" w:hint="default"/>
      </w:rPr>
    </w:lvl>
    <w:lvl w:ilvl="6" w:tplc="D896A51E" w:tentative="1">
      <w:start w:val="1"/>
      <w:numFmt w:val="bullet"/>
      <w:lvlText w:val=""/>
      <w:lvlJc w:val="left"/>
      <w:pPr>
        <w:tabs>
          <w:tab w:val="num" w:pos="5040"/>
        </w:tabs>
        <w:ind w:left="5040" w:hanging="360"/>
      </w:pPr>
      <w:rPr>
        <w:rFonts w:ascii="Symbol" w:hAnsi="Symbol" w:hint="default"/>
      </w:rPr>
    </w:lvl>
    <w:lvl w:ilvl="7" w:tplc="FDF2DF56" w:tentative="1">
      <w:start w:val="1"/>
      <w:numFmt w:val="bullet"/>
      <w:lvlText w:val="o"/>
      <w:lvlJc w:val="left"/>
      <w:pPr>
        <w:tabs>
          <w:tab w:val="num" w:pos="5760"/>
        </w:tabs>
        <w:ind w:left="5760" w:hanging="360"/>
      </w:pPr>
      <w:rPr>
        <w:rFonts w:ascii="Courier New" w:hAnsi="Courier New" w:hint="default"/>
      </w:rPr>
    </w:lvl>
    <w:lvl w:ilvl="8" w:tplc="A56C9A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B308D210">
      <w:start w:val="1"/>
      <w:numFmt w:val="lowerRoman"/>
      <w:lvlText w:val="%1.)"/>
      <w:lvlJc w:val="left"/>
      <w:pPr>
        <w:tabs>
          <w:tab w:val="num" w:pos="540"/>
        </w:tabs>
        <w:ind w:left="255" w:hanging="435"/>
      </w:pPr>
      <w:rPr>
        <w:rFonts w:hint="default"/>
      </w:rPr>
    </w:lvl>
    <w:lvl w:ilvl="1" w:tplc="58D0A176" w:tentative="1">
      <w:start w:val="1"/>
      <w:numFmt w:val="lowerLetter"/>
      <w:lvlText w:val="%2."/>
      <w:lvlJc w:val="left"/>
      <w:pPr>
        <w:tabs>
          <w:tab w:val="num" w:pos="1260"/>
        </w:tabs>
        <w:ind w:left="1260" w:hanging="360"/>
      </w:pPr>
    </w:lvl>
    <w:lvl w:ilvl="2" w:tplc="9E28E656" w:tentative="1">
      <w:start w:val="1"/>
      <w:numFmt w:val="lowerRoman"/>
      <w:lvlText w:val="%3."/>
      <w:lvlJc w:val="right"/>
      <w:pPr>
        <w:tabs>
          <w:tab w:val="num" w:pos="1980"/>
        </w:tabs>
        <w:ind w:left="1980" w:hanging="180"/>
      </w:pPr>
    </w:lvl>
    <w:lvl w:ilvl="3" w:tplc="2178493C" w:tentative="1">
      <w:start w:val="1"/>
      <w:numFmt w:val="decimal"/>
      <w:lvlText w:val="%4."/>
      <w:lvlJc w:val="left"/>
      <w:pPr>
        <w:tabs>
          <w:tab w:val="num" w:pos="2700"/>
        </w:tabs>
        <w:ind w:left="2700" w:hanging="360"/>
      </w:pPr>
    </w:lvl>
    <w:lvl w:ilvl="4" w:tplc="F2FE84C0" w:tentative="1">
      <w:start w:val="1"/>
      <w:numFmt w:val="lowerLetter"/>
      <w:lvlText w:val="%5."/>
      <w:lvlJc w:val="left"/>
      <w:pPr>
        <w:tabs>
          <w:tab w:val="num" w:pos="3420"/>
        </w:tabs>
        <w:ind w:left="3420" w:hanging="360"/>
      </w:pPr>
    </w:lvl>
    <w:lvl w:ilvl="5" w:tplc="302EE44E" w:tentative="1">
      <w:start w:val="1"/>
      <w:numFmt w:val="lowerRoman"/>
      <w:lvlText w:val="%6."/>
      <w:lvlJc w:val="right"/>
      <w:pPr>
        <w:tabs>
          <w:tab w:val="num" w:pos="4140"/>
        </w:tabs>
        <w:ind w:left="4140" w:hanging="180"/>
      </w:pPr>
    </w:lvl>
    <w:lvl w:ilvl="6" w:tplc="077A2E20" w:tentative="1">
      <w:start w:val="1"/>
      <w:numFmt w:val="decimal"/>
      <w:lvlText w:val="%7."/>
      <w:lvlJc w:val="left"/>
      <w:pPr>
        <w:tabs>
          <w:tab w:val="num" w:pos="4860"/>
        </w:tabs>
        <w:ind w:left="4860" w:hanging="360"/>
      </w:pPr>
    </w:lvl>
    <w:lvl w:ilvl="7" w:tplc="F1141680" w:tentative="1">
      <w:start w:val="1"/>
      <w:numFmt w:val="lowerLetter"/>
      <w:lvlText w:val="%8."/>
      <w:lvlJc w:val="left"/>
      <w:pPr>
        <w:tabs>
          <w:tab w:val="num" w:pos="5580"/>
        </w:tabs>
        <w:ind w:left="5580" w:hanging="360"/>
      </w:pPr>
    </w:lvl>
    <w:lvl w:ilvl="8" w:tplc="7AA807D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BF78FEC2">
      <w:start w:val="1"/>
      <w:numFmt w:val="bullet"/>
      <w:lvlText w:val=""/>
      <w:lvlJc w:val="left"/>
      <w:pPr>
        <w:tabs>
          <w:tab w:val="num" w:pos="720"/>
        </w:tabs>
        <w:ind w:left="720" w:hanging="360"/>
      </w:pPr>
      <w:rPr>
        <w:rFonts w:ascii="Symbol" w:hAnsi="Symbol" w:hint="default"/>
      </w:rPr>
    </w:lvl>
    <w:lvl w:ilvl="1" w:tplc="217880DC" w:tentative="1">
      <w:start w:val="1"/>
      <w:numFmt w:val="bullet"/>
      <w:lvlText w:val="o"/>
      <w:lvlJc w:val="left"/>
      <w:pPr>
        <w:tabs>
          <w:tab w:val="num" w:pos="1440"/>
        </w:tabs>
        <w:ind w:left="1440" w:hanging="360"/>
      </w:pPr>
      <w:rPr>
        <w:rFonts w:ascii="Courier New" w:hAnsi="Courier New" w:hint="default"/>
      </w:rPr>
    </w:lvl>
    <w:lvl w:ilvl="2" w:tplc="DC1CDD14" w:tentative="1">
      <w:start w:val="1"/>
      <w:numFmt w:val="bullet"/>
      <w:lvlText w:val=""/>
      <w:lvlJc w:val="left"/>
      <w:pPr>
        <w:tabs>
          <w:tab w:val="num" w:pos="2160"/>
        </w:tabs>
        <w:ind w:left="2160" w:hanging="360"/>
      </w:pPr>
      <w:rPr>
        <w:rFonts w:ascii="Wingdings" w:hAnsi="Wingdings" w:hint="default"/>
      </w:rPr>
    </w:lvl>
    <w:lvl w:ilvl="3" w:tplc="CC2660AE" w:tentative="1">
      <w:start w:val="1"/>
      <w:numFmt w:val="bullet"/>
      <w:lvlText w:val=""/>
      <w:lvlJc w:val="left"/>
      <w:pPr>
        <w:tabs>
          <w:tab w:val="num" w:pos="2880"/>
        </w:tabs>
        <w:ind w:left="2880" w:hanging="360"/>
      </w:pPr>
      <w:rPr>
        <w:rFonts w:ascii="Symbol" w:hAnsi="Symbol" w:hint="default"/>
      </w:rPr>
    </w:lvl>
    <w:lvl w:ilvl="4" w:tplc="8A7C5EE0" w:tentative="1">
      <w:start w:val="1"/>
      <w:numFmt w:val="bullet"/>
      <w:lvlText w:val="o"/>
      <w:lvlJc w:val="left"/>
      <w:pPr>
        <w:tabs>
          <w:tab w:val="num" w:pos="3600"/>
        </w:tabs>
        <w:ind w:left="3600" w:hanging="360"/>
      </w:pPr>
      <w:rPr>
        <w:rFonts w:ascii="Courier New" w:hAnsi="Courier New" w:hint="default"/>
      </w:rPr>
    </w:lvl>
    <w:lvl w:ilvl="5" w:tplc="3A2C0C1A" w:tentative="1">
      <w:start w:val="1"/>
      <w:numFmt w:val="bullet"/>
      <w:lvlText w:val=""/>
      <w:lvlJc w:val="left"/>
      <w:pPr>
        <w:tabs>
          <w:tab w:val="num" w:pos="4320"/>
        </w:tabs>
        <w:ind w:left="4320" w:hanging="360"/>
      </w:pPr>
      <w:rPr>
        <w:rFonts w:ascii="Wingdings" w:hAnsi="Wingdings" w:hint="default"/>
      </w:rPr>
    </w:lvl>
    <w:lvl w:ilvl="6" w:tplc="832EF284" w:tentative="1">
      <w:start w:val="1"/>
      <w:numFmt w:val="bullet"/>
      <w:lvlText w:val=""/>
      <w:lvlJc w:val="left"/>
      <w:pPr>
        <w:tabs>
          <w:tab w:val="num" w:pos="5040"/>
        </w:tabs>
        <w:ind w:left="5040" w:hanging="360"/>
      </w:pPr>
      <w:rPr>
        <w:rFonts w:ascii="Symbol" w:hAnsi="Symbol" w:hint="default"/>
      </w:rPr>
    </w:lvl>
    <w:lvl w:ilvl="7" w:tplc="5D10A152" w:tentative="1">
      <w:start w:val="1"/>
      <w:numFmt w:val="bullet"/>
      <w:lvlText w:val="o"/>
      <w:lvlJc w:val="left"/>
      <w:pPr>
        <w:tabs>
          <w:tab w:val="num" w:pos="5760"/>
        </w:tabs>
        <w:ind w:left="5760" w:hanging="360"/>
      </w:pPr>
      <w:rPr>
        <w:rFonts w:ascii="Courier New" w:hAnsi="Courier New" w:hint="default"/>
      </w:rPr>
    </w:lvl>
    <w:lvl w:ilvl="8" w:tplc="54EEC3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D38A4DC">
      <w:start w:val="1"/>
      <w:numFmt w:val="lowerRoman"/>
      <w:lvlText w:val="%1.)"/>
      <w:lvlJc w:val="left"/>
      <w:pPr>
        <w:tabs>
          <w:tab w:val="num" w:pos="720"/>
        </w:tabs>
        <w:ind w:left="435" w:hanging="435"/>
      </w:pPr>
      <w:rPr>
        <w:rFonts w:hint="default"/>
      </w:rPr>
    </w:lvl>
    <w:lvl w:ilvl="1" w:tplc="2DB28FC2">
      <w:start w:val="8"/>
      <w:numFmt w:val="decimal"/>
      <w:lvlText w:val="%2."/>
      <w:lvlJc w:val="left"/>
      <w:pPr>
        <w:tabs>
          <w:tab w:val="num" w:pos="1080"/>
        </w:tabs>
        <w:ind w:left="1080" w:hanging="360"/>
      </w:pPr>
      <w:rPr>
        <w:rFonts w:hint="default"/>
      </w:rPr>
    </w:lvl>
    <w:lvl w:ilvl="2" w:tplc="B2F01A94" w:tentative="1">
      <w:start w:val="1"/>
      <w:numFmt w:val="lowerRoman"/>
      <w:lvlText w:val="%3."/>
      <w:lvlJc w:val="right"/>
      <w:pPr>
        <w:tabs>
          <w:tab w:val="num" w:pos="1800"/>
        </w:tabs>
        <w:ind w:left="1800" w:hanging="180"/>
      </w:pPr>
    </w:lvl>
    <w:lvl w:ilvl="3" w:tplc="03565432" w:tentative="1">
      <w:start w:val="1"/>
      <w:numFmt w:val="decimal"/>
      <w:lvlText w:val="%4."/>
      <w:lvlJc w:val="left"/>
      <w:pPr>
        <w:tabs>
          <w:tab w:val="num" w:pos="2520"/>
        </w:tabs>
        <w:ind w:left="2520" w:hanging="360"/>
      </w:pPr>
    </w:lvl>
    <w:lvl w:ilvl="4" w:tplc="5FAA6D16" w:tentative="1">
      <w:start w:val="1"/>
      <w:numFmt w:val="lowerLetter"/>
      <w:lvlText w:val="%5."/>
      <w:lvlJc w:val="left"/>
      <w:pPr>
        <w:tabs>
          <w:tab w:val="num" w:pos="3240"/>
        </w:tabs>
        <w:ind w:left="3240" w:hanging="360"/>
      </w:pPr>
    </w:lvl>
    <w:lvl w:ilvl="5" w:tplc="63DA2F36" w:tentative="1">
      <w:start w:val="1"/>
      <w:numFmt w:val="lowerRoman"/>
      <w:lvlText w:val="%6."/>
      <w:lvlJc w:val="right"/>
      <w:pPr>
        <w:tabs>
          <w:tab w:val="num" w:pos="3960"/>
        </w:tabs>
        <w:ind w:left="3960" w:hanging="180"/>
      </w:pPr>
    </w:lvl>
    <w:lvl w:ilvl="6" w:tplc="B434A15C" w:tentative="1">
      <w:start w:val="1"/>
      <w:numFmt w:val="decimal"/>
      <w:lvlText w:val="%7."/>
      <w:lvlJc w:val="left"/>
      <w:pPr>
        <w:tabs>
          <w:tab w:val="num" w:pos="4680"/>
        </w:tabs>
        <w:ind w:left="4680" w:hanging="360"/>
      </w:pPr>
    </w:lvl>
    <w:lvl w:ilvl="7" w:tplc="ADEA7EEC" w:tentative="1">
      <w:start w:val="1"/>
      <w:numFmt w:val="lowerLetter"/>
      <w:lvlText w:val="%8."/>
      <w:lvlJc w:val="left"/>
      <w:pPr>
        <w:tabs>
          <w:tab w:val="num" w:pos="5400"/>
        </w:tabs>
        <w:ind w:left="5400" w:hanging="360"/>
      </w:pPr>
    </w:lvl>
    <w:lvl w:ilvl="8" w:tplc="9C02642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64826634">
      <w:start w:val="1"/>
      <w:numFmt w:val="lowerLetter"/>
      <w:lvlText w:val="%1)"/>
      <w:lvlJc w:val="left"/>
      <w:pPr>
        <w:tabs>
          <w:tab w:val="num" w:pos="720"/>
        </w:tabs>
        <w:ind w:left="720" w:hanging="360"/>
      </w:pPr>
    </w:lvl>
    <w:lvl w:ilvl="1" w:tplc="46046674" w:tentative="1">
      <w:start w:val="1"/>
      <w:numFmt w:val="lowerLetter"/>
      <w:lvlText w:val="%2."/>
      <w:lvlJc w:val="left"/>
      <w:pPr>
        <w:tabs>
          <w:tab w:val="num" w:pos="1440"/>
        </w:tabs>
        <w:ind w:left="1440" w:hanging="360"/>
      </w:pPr>
    </w:lvl>
    <w:lvl w:ilvl="2" w:tplc="D6C847B2" w:tentative="1">
      <w:start w:val="1"/>
      <w:numFmt w:val="lowerRoman"/>
      <w:lvlText w:val="%3."/>
      <w:lvlJc w:val="right"/>
      <w:pPr>
        <w:tabs>
          <w:tab w:val="num" w:pos="2160"/>
        </w:tabs>
        <w:ind w:left="2160" w:hanging="180"/>
      </w:pPr>
    </w:lvl>
    <w:lvl w:ilvl="3" w:tplc="EDAEDC46" w:tentative="1">
      <w:start w:val="1"/>
      <w:numFmt w:val="decimal"/>
      <w:lvlText w:val="%4."/>
      <w:lvlJc w:val="left"/>
      <w:pPr>
        <w:tabs>
          <w:tab w:val="num" w:pos="2880"/>
        </w:tabs>
        <w:ind w:left="2880" w:hanging="360"/>
      </w:pPr>
    </w:lvl>
    <w:lvl w:ilvl="4" w:tplc="EC5C2E62" w:tentative="1">
      <w:start w:val="1"/>
      <w:numFmt w:val="lowerLetter"/>
      <w:lvlText w:val="%5."/>
      <w:lvlJc w:val="left"/>
      <w:pPr>
        <w:tabs>
          <w:tab w:val="num" w:pos="3600"/>
        </w:tabs>
        <w:ind w:left="3600" w:hanging="360"/>
      </w:pPr>
    </w:lvl>
    <w:lvl w:ilvl="5" w:tplc="C91014B8" w:tentative="1">
      <w:start w:val="1"/>
      <w:numFmt w:val="lowerRoman"/>
      <w:lvlText w:val="%6."/>
      <w:lvlJc w:val="right"/>
      <w:pPr>
        <w:tabs>
          <w:tab w:val="num" w:pos="4320"/>
        </w:tabs>
        <w:ind w:left="4320" w:hanging="180"/>
      </w:pPr>
    </w:lvl>
    <w:lvl w:ilvl="6" w:tplc="505EBF68" w:tentative="1">
      <w:start w:val="1"/>
      <w:numFmt w:val="decimal"/>
      <w:lvlText w:val="%7."/>
      <w:lvlJc w:val="left"/>
      <w:pPr>
        <w:tabs>
          <w:tab w:val="num" w:pos="5040"/>
        </w:tabs>
        <w:ind w:left="5040" w:hanging="360"/>
      </w:pPr>
    </w:lvl>
    <w:lvl w:ilvl="7" w:tplc="6BB0D7CC" w:tentative="1">
      <w:start w:val="1"/>
      <w:numFmt w:val="lowerLetter"/>
      <w:lvlText w:val="%8."/>
      <w:lvlJc w:val="left"/>
      <w:pPr>
        <w:tabs>
          <w:tab w:val="num" w:pos="5760"/>
        </w:tabs>
        <w:ind w:left="5760" w:hanging="360"/>
      </w:pPr>
    </w:lvl>
    <w:lvl w:ilvl="8" w:tplc="53F4326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1E641D2">
      <w:start w:val="1"/>
      <w:numFmt w:val="lowerRoman"/>
      <w:lvlText w:val="%1.)"/>
      <w:lvlJc w:val="left"/>
      <w:pPr>
        <w:tabs>
          <w:tab w:val="num" w:pos="720"/>
        </w:tabs>
        <w:ind w:left="435" w:hanging="435"/>
      </w:pPr>
      <w:rPr>
        <w:rFonts w:hint="default"/>
      </w:rPr>
    </w:lvl>
    <w:lvl w:ilvl="1" w:tplc="76D42274" w:tentative="1">
      <w:start w:val="1"/>
      <w:numFmt w:val="lowerLetter"/>
      <w:lvlText w:val="%2."/>
      <w:lvlJc w:val="left"/>
      <w:pPr>
        <w:tabs>
          <w:tab w:val="num" w:pos="1440"/>
        </w:tabs>
        <w:ind w:left="1440" w:hanging="360"/>
      </w:pPr>
    </w:lvl>
    <w:lvl w:ilvl="2" w:tplc="0994B5E4" w:tentative="1">
      <w:start w:val="1"/>
      <w:numFmt w:val="lowerRoman"/>
      <w:lvlText w:val="%3."/>
      <w:lvlJc w:val="right"/>
      <w:pPr>
        <w:tabs>
          <w:tab w:val="num" w:pos="2160"/>
        </w:tabs>
        <w:ind w:left="2160" w:hanging="180"/>
      </w:pPr>
    </w:lvl>
    <w:lvl w:ilvl="3" w:tplc="8D16F22E" w:tentative="1">
      <w:start w:val="1"/>
      <w:numFmt w:val="decimal"/>
      <w:lvlText w:val="%4."/>
      <w:lvlJc w:val="left"/>
      <w:pPr>
        <w:tabs>
          <w:tab w:val="num" w:pos="2880"/>
        </w:tabs>
        <w:ind w:left="2880" w:hanging="360"/>
      </w:pPr>
    </w:lvl>
    <w:lvl w:ilvl="4" w:tplc="514AD8A0" w:tentative="1">
      <w:start w:val="1"/>
      <w:numFmt w:val="lowerLetter"/>
      <w:lvlText w:val="%5."/>
      <w:lvlJc w:val="left"/>
      <w:pPr>
        <w:tabs>
          <w:tab w:val="num" w:pos="3600"/>
        </w:tabs>
        <w:ind w:left="3600" w:hanging="360"/>
      </w:pPr>
    </w:lvl>
    <w:lvl w:ilvl="5" w:tplc="0A800A52" w:tentative="1">
      <w:start w:val="1"/>
      <w:numFmt w:val="lowerRoman"/>
      <w:lvlText w:val="%6."/>
      <w:lvlJc w:val="right"/>
      <w:pPr>
        <w:tabs>
          <w:tab w:val="num" w:pos="4320"/>
        </w:tabs>
        <w:ind w:left="4320" w:hanging="180"/>
      </w:pPr>
    </w:lvl>
    <w:lvl w:ilvl="6" w:tplc="63D68FD2" w:tentative="1">
      <w:start w:val="1"/>
      <w:numFmt w:val="decimal"/>
      <w:lvlText w:val="%7."/>
      <w:lvlJc w:val="left"/>
      <w:pPr>
        <w:tabs>
          <w:tab w:val="num" w:pos="5040"/>
        </w:tabs>
        <w:ind w:left="5040" w:hanging="360"/>
      </w:pPr>
    </w:lvl>
    <w:lvl w:ilvl="7" w:tplc="DDF820C4" w:tentative="1">
      <w:start w:val="1"/>
      <w:numFmt w:val="lowerLetter"/>
      <w:lvlText w:val="%8."/>
      <w:lvlJc w:val="left"/>
      <w:pPr>
        <w:tabs>
          <w:tab w:val="num" w:pos="5760"/>
        </w:tabs>
        <w:ind w:left="5760" w:hanging="360"/>
      </w:pPr>
    </w:lvl>
    <w:lvl w:ilvl="8" w:tplc="5652E52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3CF87E0E">
      <w:start w:val="1"/>
      <w:numFmt w:val="bullet"/>
      <w:lvlText w:val=""/>
      <w:lvlJc w:val="left"/>
      <w:pPr>
        <w:tabs>
          <w:tab w:val="num" w:pos="720"/>
        </w:tabs>
        <w:ind w:left="720" w:hanging="360"/>
      </w:pPr>
      <w:rPr>
        <w:rFonts w:ascii="Symbol" w:hAnsi="Symbol" w:hint="default"/>
      </w:rPr>
    </w:lvl>
    <w:lvl w:ilvl="1" w:tplc="414A4194" w:tentative="1">
      <w:start w:val="1"/>
      <w:numFmt w:val="bullet"/>
      <w:lvlText w:val="o"/>
      <w:lvlJc w:val="left"/>
      <w:pPr>
        <w:tabs>
          <w:tab w:val="num" w:pos="1440"/>
        </w:tabs>
        <w:ind w:left="1440" w:hanging="360"/>
      </w:pPr>
      <w:rPr>
        <w:rFonts w:ascii="Courier New" w:hAnsi="Courier New" w:hint="default"/>
      </w:rPr>
    </w:lvl>
    <w:lvl w:ilvl="2" w:tplc="290C3BCE" w:tentative="1">
      <w:start w:val="1"/>
      <w:numFmt w:val="bullet"/>
      <w:lvlText w:val=""/>
      <w:lvlJc w:val="left"/>
      <w:pPr>
        <w:tabs>
          <w:tab w:val="num" w:pos="2160"/>
        </w:tabs>
        <w:ind w:left="2160" w:hanging="360"/>
      </w:pPr>
      <w:rPr>
        <w:rFonts w:ascii="Wingdings" w:hAnsi="Wingdings" w:hint="default"/>
      </w:rPr>
    </w:lvl>
    <w:lvl w:ilvl="3" w:tplc="C10A3D96" w:tentative="1">
      <w:start w:val="1"/>
      <w:numFmt w:val="bullet"/>
      <w:lvlText w:val=""/>
      <w:lvlJc w:val="left"/>
      <w:pPr>
        <w:tabs>
          <w:tab w:val="num" w:pos="2880"/>
        </w:tabs>
        <w:ind w:left="2880" w:hanging="360"/>
      </w:pPr>
      <w:rPr>
        <w:rFonts w:ascii="Symbol" w:hAnsi="Symbol" w:hint="default"/>
      </w:rPr>
    </w:lvl>
    <w:lvl w:ilvl="4" w:tplc="18DE5938" w:tentative="1">
      <w:start w:val="1"/>
      <w:numFmt w:val="bullet"/>
      <w:lvlText w:val="o"/>
      <w:lvlJc w:val="left"/>
      <w:pPr>
        <w:tabs>
          <w:tab w:val="num" w:pos="3600"/>
        </w:tabs>
        <w:ind w:left="3600" w:hanging="360"/>
      </w:pPr>
      <w:rPr>
        <w:rFonts w:ascii="Courier New" w:hAnsi="Courier New" w:hint="default"/>
      </w:rPr>
    </w:lvl>
    <w:lvl w:ilvl="5" w:tplc="52201F80" w:tentative="1">
      <w:start w:val="1"/>
      <w:numFmt w:val="bullet"/>
      <w:lvlText w:val=""/>
      <w:lvlJc w:val="left"/>
      <w:pPr>
        <w:tabs>
          <w:tab w:val="num" w:pos="4320"/>
        </w:tabs>
        <w:ind w:left="4320" w:hanging="360"/>
      </w:pPr>
      <w:rPr>
        <w:rFonts w:ascii="Wingdings" w:hAnsi="Wingdings" w:hint="default"/>
      </w:rPr>
    </w:lvl>
    <w:lvl w:ilvl="6" w:tplc="E5769282" w:tentative="1">
      <w:start w:val="1"/>
      <w:numFmt w:val="bullet"/>
      <w:lvlText w:val=""/>
      <w:lvlJc w:val="left"/>
      <w:pPr>
        <w:tabs>
          <w:tab w:val="num" w:pos="5040"/>
        </w:tabs>
        <w:ind w:left="5040" w:hanging="360"/>
      </w:pPr>
      <w:rPr>
        <w:rFonts w:ascii="Symbol" w:hAnsi="Symbol" w:hint="default"/>
      </w:rPr>
    </w:lvl>
    <w:lvl w:ilvl="7" w:tplc="1BA26736" w:tentative="1">
      <w:start w:val="1"/>
      <w:numFmt w:val="bullet"/>
      <w:lvlText w:val="o"/>
      <w:lvlJc w:val="left"/>
      <w:pPr>
        <w:tabs>
          <w:tab w:val="num" w:pos="5760"/>
        </w:tabs>
        <w:ind w:left="5760" w:hanging="360"/>
      </w:pPr>
      <w:rPr>
        <w:rFonts w:ascii="Courier New" w:hAnsi="Courier New" w:hint="default"/>
      </w:rPr>
    </w:lvl>
    <w:lvl w:ilvl="8" w:tplc="115A19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8AE064A">
      <w:start w:val="1"/>
      <w:numFmt w:val="bullet"/>
      <w:lvlText w:val=""/>
      <w:lvlJc w:val="left"/>
      <w:pPr>
        <w:tabs>
          <w:tab w:val="num" w:pos="1440"/>
        </w:tabs>
        <w:ind w:left="1440" w:hanging="360"/>
      </w:pPr>
      <w:rPr>
        <w:rFonts w:ascii="Symbol" w:hAnsi="Symbol" w:hint="default"/>
      </w:rPr>
    </w:lvl>
    <w:lvl w:ilvl="1" w:tplc="86BA0990" w:tentative="1">
      <w:start w:val="1"/>
      <w:numFmt w:val="bullet"/>
      <w:lvlText w:val="o"/>
      <w:lvlJc w:val="left"/>
      <w:pPr>
        <w:tabs>
          <w:tab w:val="num" w:pos="2160"/>
        </w:tabs>
        <w:ind w:left="2160" w:hanging="360"/>
      </w:pPr>
      <w:rPr>
        <w:rFonts w:ascii="Courier New" w:hAnsi="Courier New" w:hint="default"/>
      </w:rPr>
    </w:lvl>
    <w:lvl w:ilvl="2" w:tplc="2BC6A272" w:tentative="1">
      <w:start w:val="1"/>
      <w:numFmt w:val="bullet"/>
      <w:lvlText w:val=""/>
      <w:lvlJc w:val="left"/>
      <w:pPr>
        <w:tabs>
          <w:tab w:val="num" w:pos="2880"/>
        </w:tabs>
        <w:ind w:left="2880" w:hanging="360"/>
      </w:pPr>
      <w:rPr>
        <w:rFonts w:ascii="Wingdings" w:hAnsi="Wingdings" w:hint="default"/>
      </w:rPr>
    </w:lvl>
    <w:lvl w:ilvl="3" w:tplc="8EDAD060" w:tentative="1">
      <w:start w:val="1"/>
      <w:numFmt w:val="bullet"/>
      <w:lvlText w:val=""/>
      <w:lvlJc w:val="left"/>
      <w:pPr>
        <w:tabs>
          <w:tab w:val="num" w:pos="3600"/>
        </w:tabs>
        <w:ind w:left="3600" w:hanging="360"/>
      </w:pPr>
      <w:rPr>
        <w:rFonts w:ascii="Symbol" w:hAnsi="Symbol" w:hint="default"/>
      </w:rPr>
    </w:lvl>
    <w:lvl w:ilvl="4" w:tplc="A6B84F60" w:tentative="1">
      <w:start w:val="1"/>
      <w:numFmt w:val="bullet"/>
      <w:lvlText w:val="o"/>
      <w:lvlJc w:val="left"/>
      <w:pPr>
        <w:tabs>
          <w:tab w:val="num" w:pos="4320"/>
        </w:tabs>
        <w:ind w:left="4320" w:hanging="360"/>
      </w:pPr>
      <w:rPr>
        <w:rFonts w:ascii="Courier New" w:hAnsi="Courier New" w:hint="default"/>
      </w:rPr>
    </w:lvl>
    <w:lvl w:ilvl="5" w:tplc="8B2C8C88" w:tentative="1">
      <w:start w:val="1"/>
      <w:numFmt w:val="bullet"/>
      <w:lvlText w:val=""/>
      <w:lvlJc w:val="left"/>
      <w:pPr>
        <w:tabs>
          <w:tab w:val="num" w:pos="5040"/>
        </w:tabs>
        <w:ind w:left="5040" w:hanging="360"/>
      </w:pPr>
      <w:rPr>
        <w:rFonts w:ascii="Wingdings" w:hAnsi="Wingdings" w:hint="default"/>
      </w:rPr>
    </w:lvl>
    <w:lvl w:ilvl="6" w:tplc="ABDA3CB4" w:tentative="1">
      <w:start w:val="1"/>
      <w:numFmt w:val="bullet"/>
      <w:lvlText w:val=""/>
      <w:lvlJc w:val="left"/>
      <w:pPr>
        <w:tabs>
          <w:tab w:val="num" w:pos="5760"/>
        </w:tabs>
        <w:ind w:left="5760" w:hanging="360"/>
      </w:pPr>
      <w:rPr>
        <w:rFonts w:ascii="Symbol" w:hAnsi="Symbol" w:hint="default"/>
      </w:rPr>
    </w:lvl>
    <w:lvl w:ilvl="7" w:tplc="0EBA67D8" w:tentative="1">
      <w:start w:val="1"/>
      <w:numFmt w:val="bullet"/>
      <w:lvlText w:val="o"/>
      <w:lvlJc w:val="left"/>
      <w:pPr>
        <w:tabs>
          <w:tab w:val="num" w:pos="6480"/>
        </w:tabs>
        <w:ind w:left="6480" w:hanging="360"/>
      </w:pPr>
      <w:rPr>
        <w:rFonts w:ascii="Courier New" w:hAnsi="Courier New" w:hint="default"/>
      </w:rPr>
    </w:lvl>
    <w:lvl w:ilvl="8" w:tplc="24AEA34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6380C1C2">
      <w:start w:val="1"/>
      <w:numFmt w:val="bullet"/>
      <w:lvlText w:val=""/>
      <w:lvlJc w:val="left"/>
      <w:pPr>
        <w:tabs>
          <w:tab w:val="num" w:pos="1440"/>
        </w:tabs>
        <w:ind w:left="1440" w:hanging="360"/>
      </w:pPr>
      <w:rPr>
        <w:rFonts w:ascii="Symbol" w:hAnsi="Symbol" w:hint="default"/>
      </w:rPr>
    </w:lvl>
    <w:lvl w:ilvl="1" w:tplc="E778959A" w:tentative="1">
      <w:start w:val="1"/>
      <w:numFmt w:val="bullet"/>
      <w:lvlText w:val="o"/>
      <w:lvlJc w:val="left"/>
      <w:pPr>
        <w:tabs>
          <w:tab w:val="num" w:pos="2160"/>
        </w:tabs>
        <w:ind w:left="2160" w:hanging="360"/>
      </w:pPr>
      <w:rPr>
        <w:rFonts w:ascii="Courier New" w:hAnsi="Courier New" w:hint="default"/>
      </w:rPr>
    </w:lvl>
    <w:lvl w:ilvl="2" w:tplc="C0F4CDDC" w:tentative="1">
      <w:start w:val="1"/>
      <w:numFmt w:val="bullet"/>
      <w:lvlText w:val=""/>
      <w:lvlJc w:val="left"/>
      <w:pPr>
        <w:tabs>
          <w:tab w:val="num" w:pos="2880"/>
        </w:tabs>
        <w:ind w:left="2880" w:hanging="360"/>
      </w:pPr>
      <w:rPr>
        <w:rFonts w:ascii="Wingdings" w:hAnsi="Wingdings" w:hint="default"/>
      </w:rPr>
    </w:lvl>
    <w:lvl w:ilvl="3" w:tplc="04800A70" w:tentative="1">
      <w:start w:val="1"/>
      <w:numFmt w:val="bullet"/>
      <w:lvlText w:val=""/>
      <w:lvlJc w:val="left"/>
      <w:pPr>
        <w:tabs>
          <w:tab w:val="num" w:pos="3600"/>
        </w:tabs>
        <w:ind w:left="3600" w:hanging="360"/>
      </w:pPr>
      <w:rPr>
        <w:rFonts w:ascii="Symbol" w:hAnsi="Symbol" w:hint="default"/>
      </w:rPr>
    </w:lvl>
    <w:lvl w:ilvl="4" w:tplc="EA428C28" w:tentative="1">
      <w:start w:val="1"/>
      <w:numFmt w:val="bullet"/>
      <w:lvlText w:val="o"/>
      <w:lvlJc w:val="left"/>
      <w:pPr>
        <w:tabs>
          <w:tab w:val="num" w:pos="4320"/>
        </w:tabs>
        <w:ind w:left="4320" w:hanging="360"/>
      </w:pPr>
      <w:rPr>
        <w:rFonts w:ascii="Courier New" w:hAnsi="Courier New" w:hint="default"/>
      </w:rPr>
    </w:lvl>
    <w:lvl w:ilvl="5" w:tplc="4424994A" w:tentative="1">
      <w:start w:val="1"/>
      <w:numFmt w:val="bullet"/>
      <w:lvlText w:val=""/>
      <w:lvlJc w:val="left"/>
      <w:pPr>
        <w:tabs>
          <w:tab w:val="num" w:pos="5040"/>
        </w:tabs>
        <w:ind w:left="5040" w:hanging="360"/>
      </w:pPr>
      <w:rPr>
        <w:rFonts w:ascii="Wingdings" w:hAnsi="Wingdings" w:hint="default"/>
      </w:rPr>
    </w:lvl>
    <w:lvl w:ilvl="6" w:tplc="51E07BC2" w:tentative="1">
      <w:start w:val="1"/>
      <w:numFmt w:val="bullet"/>
      <w:lvlText w:val=""/>
      <w:lvlJc w:val="left"/>
      <w:pPr>
        <w:tabs>
          <w:tab w:val="num" w:pos="5760"/>
        </w:tabs>
        <w:ind w:left="5760" w:hanging="360"/>
      </w:pPr>
      <w:rPr>
        <w:rFonts w:ascii="Symbol" w:hAnsi="Symbol" w:hint="default"/>
      </w:rPr>
    </w:lvl>
    <w:lvl w:ilvl="7" w:tplc="48766808" w:tentative="1">
      <w:start w:val="1"/>
      <w:numFmt w:val="bullet"/>
      <w:lvlText w:val="o"/>
      <w:lvlJc w:val="left"/>
      <w:pPr>
        <w:tabs>
          <w:tab w:val="num" w:pos="6480"/>
        </w:tabs>
        <w:ind w:left="6480" w:hanging="360"/>
      </w:pPr>
      <w:rPr>
        <w:rFonts w:ascii="Courier New" w:hAnsi="Courier New" w:hint="default"/>
      </w:rPr>
    </w:lvl>
    <w:lvl w:ilvl="8" w:tplc="710C638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8A42A85E">
      <w:start w:val="1"/>
      <w:numFmt w:val="bullet"/>
      <w:lvlText w:val=""/>
      <w:lvlJc w:val="left"/>
      <w:pPr>
        <w:tabs>
          <w:tab w:val="num" w:pos="1440"/>
        </w:tabs>
        <w:ind w:left="1440" w:hanging="360"/>
      </w:pPr>
      <w:rPr>
        <w:rFonts w:ascii="Symbol" w:hAnsi="Symbol" w:hint="default"/>
      </w:rPr>
    </w:lvl>
    <w:lvl w:ilvl="1" w:tplc="9C3E93FA">
      <w:start w:val="1"/>
      <w:numFmt w:val="bullet"/>
      <w:lvlText w:val="o"/>
      <w:lvlJc w:val="left"/>
      <w:pPr>
        <w:tabs>
          <w:tab w:val="num" w:pos="2160"/>
        </w:tabs>
        <w:ind w:left="2160" w:hanging="360"/>
      </w:pPr>
      <w:rPr>
        <w:rFonts w:ascii="Courier New" w:hAnsi="Courier New" w:hint="default"/>
      </w:rPr>
    </w:lvl>
    <w:lvl w:ilvl="2" w:tplc="4CC49280" w:tentative="1">
      <w:start w:val="1"/>
      <w:numFmt w:val="bullet"/>
      <w:lvlText w:val=""/>
      <w:lvlJc w:val="left"/>
      <w:pPr>
        <w:tabs>
          <w:tab w:val="num" w:pos="2880"/>
        </w:tabs>
        <w:ind w:left="2880" w:hanging="360"/>
      </w:pPr>
      <w:rPr>
        <w:rFonts w:ascii="Wingdings" w:hAnsi="Wingdings" w:hint="default"/>
      </w:rPr>
    </w:lvl>
    <w:lvl w:ilvl="3" w:tplc="D4F8B6D6" w:tentative="1">
      <w:start w:val="1"/>
      <w:numFmt w:val="bullet"/>
      <w:lvlText w:val=""/>
      <w:lvlJc w:val="left"/>
      <w:pPr>
        <w:tabs>
          <w:tab w:val="num" w:pos="3600"/>
        </w:tabs>
        <w:ind w:left="3600" w:hanging="360"/>
      </w:pPr>
      <w:rPr>
        <w:rFonts w:ascii="Symbol" w:hAnsi="Symbol" w:hint="default"/>
      </w:rPr>
    </w:lvl>
    <w:lvl w:ilvl="4" w:tplc="B568CF96" w:tentative="1">
      <w:start w:val="1"/>
      <w:numFmt w:val="bullet"/>
      <w:lvlText w:val="o"/>
      <w:lvlJc w:val="left"/>
      <w:pPr>
        <w:tabs>
          <w:tab w:val="num" w:pos="4320"/>
        </w:tabs>
        <w:ind w:left="4320" w:hanging="360"/>
      </w:pPr>
      <w:rPr>
        <w:rFonts w:ascii="Courier New" w:hAnsi="Courier New" w:hint="default"/>
      </w:rPr>
    </w:lvl>
    <w:lvl w:ilvl="5" w:tplc="49501082" w:tentative="1">
      <w:start w:val="1"/>
      <w:numFmt w:val="bullet"/>
      <w:lvlText w:val=""/>
      <w:lvlJc w:val="left"/>
      <w:pPr>
        <w:tabs>
          <w:tab w:val="num" w:pos="5040"/>
        </w:tabs>
        <w:ind w:left="5040" w:hanging="360"/>
      </w:pPr>
      <w:rPr>
        <w:rFonts w:ascii="Wingdings" w:hAnsi="Wingdings" w:hint="default"/>
      </w:rPr>
    </w:lvl>
    <w:lvl w:ilvl="6" w:tplc="B4744B76" w:tentative="1">
      <w:start w:val="1"/>
      <w:numFmt w:val="bullet"/>
      <w:lvlText w:val=""/>
      <w:lvlJc w:val="left"/>
      <w:pPr>
        <w:tabs>
          <w:tab w:val="num" w:pos="5760"/>
        </w:tabs>
        <w:ind w:left="5760" w:hanging="360"/>
      </w:pPr>
      <w:rPr>
        <w:rFonts w:ascii="Symbol" w:hAnsi="Symbol" w:hint="default"/>
      </w:rPr>
    </w:lvl>
    <w:lvl w:ilvl="7" w:tplc="7D86F758" w:tentative="1">
      <w:start w:val="1"/>
      <w:numFmt w:val="bullet"/>
      <w:lvlText w:val="o"/>
      <w:lvlJc w:val="left"/>
      <w:pPr>
        <w:tabs>
          <w:tab w:val="num" w:pos="6480"/>
        </w:tabs>
        <w:ind w:left="6480" w:hanging="360"/>
      </w:pPr>
      <w:rPr>
        <w:rFonts w:ascii="Courier New" w:hAnsi="Courier New" w:hint="default"/>
      </w:rPr>
    </w:lvl>
    <w:lvl w:ilvl="8" w:tplc="6E72951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ABCA40A">
      <w:start w:val="1"/>
      <w:numFmt w:val="bullet"/>
      <w:lvlText w:val=""/>
      <w:lvlJc w:val="left"/>
      <w:pPr>
        <w:tabs>
          <w:tab w:val="num" w:pos="720"/>
        </w:tabs>
        <w:ind w:left="720" w:hanging="360"/>
      </w:pPr>
      <w:rPr>
        <w:rFonts w:ascii="Symbol" w:hAnsi="Symbol" w:hint="default"/>
      </w:rPr>
    </w:lvl>
    <w:lvl w:ilvl="1" w:tplc="AF5A7AE6">
      <w:start w:val="1"/>
      <w:numFmt w:val="bullet"/>
      <w:lvlText w:val="o"/>
      <w:lvlJc w:val="left"/>
      <w:pPr>
        <w:tabs>
          <w:tab w:val="num" w:pos="1440"/>
        </w:tabs>
        <w:ind w:left="1440" w:hanging="360"/>
      </w:pPr>
      <w:rPr>
        <w:rFonts w:ascii="Courier New" w:hAnsi="Courier New" w:hint="default"/>
      </w:rPr>
    </w:lvl>
    <w:lvl w:ilvl="2" w:tplc="4E128C04" w:tentative="1">
      <w:start w:val="1"/>
      <w:numFmt w:val="bullet"/>
      <w:lvlText w:val=""/>
      <w:lvlJc w:val="left"/>
      <w:pPr>
        <w:tabs>
          <w:tab w:val="num" w:pos="2160"/>
        </w:tabs>
        <w:ind w:left="2160" w:hanging="360"/>
      </w:pPr>
      <w:rPr>
        <w:rFonts w:ascii="Wingdings" w:hAnsi="Wingdings" w:hint="default"/>
      </w:rPr>
    </w:lvl>
    <w:lvl w:ilvl="3" w:tplc="196EE47A" w:tentative="1">
      <w:start w:val="1"/>
      <w:numFmt w:val="bullet"/>
      <w:lvlText w:val=""/>
      <w:lvlJc w:val="left"/>
      <w:pPr>
        <w:tabs>
          <w:tab w:val="num" w:pos="2880"/>
        </w:tabs>
        <w:ind w:left="2880" w:hanging="360"/>
      </w:pPr>
      <w:rPr>
        <w:rFonts w:ascii="Symbol" w:hAnsi="Symbol" w:hint="default"/>
      </w:rPr>
    </w:lvl>
    <w:lvl w:ilvl="4" w:tplc="D324BC86" w:tentative="1">
      <w:start w:val="1"/>
      <w:numFmt w:val="bullet"/>
      <w:lvlText w:val="o"/>
      <w:lvlJc w:val="left"/>
      <w:pPr>
        <w:tabs>
          <w:tab w:val="num" w:pos="3600"/>
        </w:tabs>
        <w:ind w:left="3600" w:hanging="360"/>
      </w:pPr>
      <w:rPr>
        <w:rFonts w:ascii="Courier New" w:hAnsi="Courier New" w:hint="default"/>
      </w:rPr>
    </w:lvl>
    <w:lvl w:ilvl="5" w:tplc="F5A8CEE8" w:tentative="1">
      <w:start w:val="1"/>
      <w:numFmt w:val="bullet"/>
      <w:lvlText w:val=""/>
      <w:lvlJc w:val="left"/>
      <w:pPr>
        <w:tabs>
          <w:tab w:val="num" w:pos="4320"/>
        </w:tabs>
        <w:ind w:left="4320" w:hanging="360"/>
      </w:pPr>
      <w:rPr>
        <w:rFonts w:ascii="Wingdings" w:hAnsi="Wingdings" w:hint="default"/>
      </w:rPr>
    </w:lvl>
    <w:lvl w:ilvl="6" w:tplc="37DA1E16" w:tentative="1">
      <w:start w:val="1"/>
      <w:numFmt w:val="bullet"/>
      <w:lvlText w:val=""/>
      <w:lvlJc w:val="left"/>
      <w:pPr>
        <w:tabs>
          <w:tab w:val="num" w:pos="5040"/>
        </w:tabs>
        <w:ind w:left="5040" w:hanging="360"/>
      </w:pPr>
      <w:rPr>
        <w:rFonts w:ascii="Symbol" w:hAnsi="Symbol" w:hint="default"/>
      </w:rPr>
    </w:lvl>
    <w:lvl w:ilvl="7" w:tplc="7F2C5994" w:tentative="1">
      <w:start w:val="1"/>
      <w:numFmt w:val="bullet"/>
      <w:lvlText w:val="o"/>
      <w:lvlJc w:val="left"/>
      <w:pPr>
        <w:tabs>
          <w:tab w:val="num" w:pos="5760"/>
        </w:tabs>
        <w:ind w:left="5760" w:hanging="360"/>
      </w:pPr>
      <w:rPr>
        <w:rFonts w:ascii="Courier New" w:hAnsi="Courier New" w:hint="default"/>
      </w:rPr>
    </w:lvl>
    <w:lvl w:ilvl="8" w:tplc="EC6A65A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BC6CEF60">
      <w:start w:val="1"/>
      <w:numFmt w:val="lowerRoman"/>
      <w:lvlText w:val="%1.)"/>
      <w:lvlJc w:val="left"/>
      <w:pPr>
        <w:tabs>
          <w:tab w:val="num" w:pos="540"/>
        </w:tabs>
        <w:ind w:left="255" w:hanging="435"/>
      </w:pPr>
      <w:rPr>
        <w:rFonts w:hint="default"/>
      </w:rPr>
    </w:lvl>
    <w:lvl w:ilvl="1" w:tplc="BE36B44E" w:tentative="1">
      <w:start w:val="1"/>
      <w:numFmt w:val="lowerLetter"/>
      <w:lvlText w:val="%2."/>
      <w:lvlJc w:val="left"/>
      <w:pPr>
        <w:tabs>
          <w:tab w:val="num" w:pos="1260"/>
        </w:tabs>
        <w:ind w:left="1260" w:hanging="360"/>
      </w:pPr>
    </w:lvl>
    <w:lvl w:ilvl="2" w:tplc="B30C5870" w:tentative="1">
      <w:start w:val="1"/>
      <w:numFmt w:val="lowerRoman"/>
      <w:lvlText w:val="%3."/>
      <w:lvlJc w:val="right"/>
      <w:pPr>
        <w:tabs>
          <w:tab w:val="num" w:pos="1980"/>
        </w:tabs>
        <w:ind w:left="1980" w:hanging="180"/>
      </w:pPr>
    </w:lvl>
    <w:lvl w:ilvl="3" w:tplc="276CB17C" w:tentative="1">
      <w:start w:val="1"/>
      <w:numFmt w:val="decimal"/>
      <w:lvlText w:val="%4."/>
      <w:lvlJc w:val="left"/>
      <w:pPr>
        <w:tabs>
          <w:tab w:val="num" w:pos="2700"/>
        </w:tabs>
        <w:ind w:left="2700" w:hanging="360"/>
      </w:pPr>
    </w:lvl>
    <w:lvl w:ilvl="4" w:tplc="7200E878" w:tentative="1">
      <w:start w:val="1"/>
      <w:numFmt w:val="lowerLetter"/>
      <w:lvlText w:val="%5."/>
      <w:lvlJc w:val="left"/>
      <w:pPr>
        <w:tabs>
          <w:tab w:val="num" w:pos="3420"/>
        </w:tabs>
        <w:ind w:left="3420" w:hanging="360"/>
      </w:pPr>
    </w:lvl>
    <w:lvl w:ilvl="5" w:tplc="FB2A1488" w:tentative="1">
      <w:start w:val="1"/>
      <w:numFmt w:val="lowerRoman"/>
      <w:lvlText w:val="%6."/>
      <w:lvlJc w:val="right"/>
      <w:pPr>
        <w:tabs>
          <w:tab w:val="num" w:pos="4140"/>
        </w:tabs>
        <w:ind w:left="4140" w:hanging="180"/>
      </w:pPr>
    </w:lvl>
    <w:lvl w:ilvl="6" w:tplc="F1CCC096" w:tentative="1">
      <w:start w:val="1"/>
      <w:numFmt w:val="decimal"/>
      <w:lvlText w:val="%7."/>
      <w:lvlJc w:val="left"/>
      <w:pPr>
        <w:tabs>
          <w:tab w:val="num" w:pos="4860"/>
        </w:tabs>
        <w:ind w:left="4860" w:hanging="360"/>
      </w:pPr>
    </w:lvl>
    <w:lvl w:ilvl="7" w:tplc="DE80659C" w:tentative="1">
      <w:start w:val="1"/>
      <w:numFmt w:val="lowerLetter"/>
      <w:lvlText w:val="%8."/>
      <w:lvlJc w:val="left"/>
      <w:pPr>
        <w:tabs>
          <w:tab w:val="num" w:pos="5580"/>
        </w:tabs>
        <w:ind w:left="5580" w:hanging="360"/>
      </w:pPr>
    </w:lvl>
    <w:lvl w:ilvl="8" w:tplc="A8B232C6"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1A7AFEFE">
      <w:start w:val="1"/>
      <w:numFmt w:val="decimal"/>
      <w:lvlText w:val="%1."/>
      <w:lvlJc w:val="left"/>
      <w:pPr>
        <w:tabs>
          <w:tab w:val="num" w:pos="180"/>
        </w:tabs>
        <w:ind w:left="180" w:hanging="360"/>
      </w:pPr>
      <w:rPr>
        <w:rFonts w:hint="default"/>
      </w:rPr>
    </w:lvl>
    <w:lvl w:ilvl="1" w:tplc="1F4E68D4" w:tentative="1">
      <w:start w:val="1"/>
      <w:numFmt w:val="lowerLetter"/>
      <w:lvlText w:val="%2."/>
      <w:lvlJc w:val="left"/>
      <w:pPr>
        <w:tabs>
          <w:tab w:val="num" w:pos="900"/>
        </w:tabs>
        <w:ind w:left="900" w:hanging="360"/>
      </w:pPr>
    </w:lvl>
    <w:lvl w:ilvl="2" w:tplc="EAE4AF08" w:tentative="1">
      <w:start w:val="1"/>
      <w:numFmt w:val="lowerRoman"/>
      <w:lvlText w:val="%3."/>
      <w:lvlJc w:val="right"/>
      <w:pPr>
        <w:tabs>
          <w:tab w:val="num" w:pos="1620"/>
        </w:tabs>
        <w:ind w:left="1620" w:hanging="180"/>
      </w:pPr>
    </w:lvl>
    <w:lvl w:ilvl="3" w:tplc="6DD4D7CC" w:tentative="1">
      <w:start w:val="1"/>
      <w:numFmt w:val="decimal"/>
      <w:lvlText w:val="%4."/>
      <w:lvlJc w:val="left"/>
      <w:pPr>
        <w:tabs>
          <w:tab w:val="num" w:pos="2340"/>
        </w:tabs>
        <w:ind w:left="2340" w:hanging="360"/>
      </w:pPr>
    </w:lvl>
    <w:lvl w:ilvl="4" w:tplc="480EBDE8" w:tentative="1">
      <w:start w:val="1"/>
      <w:numFmt w:val="lowerLetter"/>
      <w:lvlText w:val="%5."/>
      <w:lvlJc w:val="left"/>
      <w:pPr>
        <w:tabs>
          <w:tab w:val="num" w:pos="3060"/>
        </w:tabs>
        <w:ind w:left="3060" w:hanging="360"/>
      </w:pPr>
    </w:lvl>
    <w:lvl w:ilvl="5" w:tplc="E67A9DB6" w:tentative="1">
      <w:start w:val="1"/>
      <w:numFmt w:val="lowerRoman"/>
      <w:lvlText w:val="%6."/>
      <w:lvlJc w:val="right"/>
      <w:pPr>
        <w:tabs>
          <w:tab w:val="num" w:pos="3780"/>
        </w:tabs>
        <w:ind w:left="3780" w:hanging="180"/>
      </w:pPr>
    </w:lvl>
    <w:lvl w:ilvl="6" w:tplc="B4E8CE08" w:tentative="1">
      <w:start w:val="1"/>
      <w:numFmt w:val="decimal"/>
      <w:lvlText w:val="%7."/>
      <w:lvlJc w:val="left"/>
      <w:pPr>
        <w:tabs>
          <w:tab w:val="num" w:pos="4500"/>
        </w:tabs>
        <w:ind w:left="4500" w:hanging="360"/>
      </w:pPr>
    </w:lvl>
    <w:lvl w:ilvl="7" w:tplc="A88CA57A" w:tentative="1">
      <w:start w:val="1"/>
      <w:numFmt w:val="lowerLetter"/>
      <w:lvlText w:val="%8."/>
      <w:lvlJc w:val="left"/>
      <w:pPr>
        <w:tabs>
          <w:tab w:val="num" w:pos="5220"/>
        </w:tabs>
        <w:ind w:left="5220" w:hanging="360"/>
      </w:pPr>
    </w:lvl>
    <w:lvl w:ilvl="8" w:tplc="CB8C69F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8C4EF4CA">
      <w:start w:val="1"/>
      <w:numFmt w:val="bullet"/>
      <w:lvlText w:val=""/>
      <w:lvlJc w:val="left"/>
      <w:pPr>
        <w:tabs>
          <w:tab w:val="num" w:pos="720"/>
        </w:tabs>
        <w:ind w:left="720" w:hanging="360"/>
      </w:pPr>
      <w:rPr>
        <w:rFonts w:ascii="Symbol" w:hAnsi="Symbol" w:hint="default"/>
      </w:rPr>
    </w:lvl>
    <w:lvl w:ilvl="1" w:tplc="9AD2E73C" w:tentative="1">
      <w:start w:val="1"/>
      <w:numFmt w:val="bullet"/>
      <w:lvlText w:val="o"/>
      <w:lvlJc w:val="left"/>
      <w:pPr>
        <w:tabs>
          <w:tab w:val="num" w:pos="1440"/>
        </w:tabs>
        <w:ind w:left="1440" w:hanging="360"/>
      </w:pPr>
      <w:rPr>
        <w:rFonts w:ascii="Courier New" w:hAnsi="Courier New" w:hint="default"/>
      </w:rPr>
    </w:lvl>
    <w:lvl w:ilvl="2" w:tplc="6A2E03E6" w:tentative="1">
      <w:start w:val="1"/>
      <w:numFmt w:val="bullet"/>
      <w:lvlText w:val=""/>
      <w:lvlJc w:val="left"/>
      <w:pPr>
        <w:tabs>
          <w:tab w:val="num" w:pos="2160"/>
        </w:tabs>
        <w:ind w:left="2160" w:hanging="360"/>
      </w:pPr>
      <w:rPr>
        <w:rFonts w:ascii="Wingdings" w:hAnsi="Wingdings" w:hint="default"/>
      </w:rPr>
    </w:lvl>
    <w:lvl w:ilvl="3" w:tplc="0FAE02A8" w:tentative="1">
      <w:start w:val="1"/>
      <w:numFmt w:val="bullet"/>
      <w:lvlText w:val=""/>
      <w:lvlJc w:val="left"/>
      <w:pPr>
        <w:tabs>
          <w:tab w:val="num" w:pos="2880"/>
        </w:tabs>
        <w:ind w:left="2880" w:hanging="360"/>
      </w:pPr>
      <w:rPr>
        <w:rFonts w:ascii="Symbol" w:hAnsi="Symbol" w:hint="default"/>
      </w:rPr>
    </w:lvl>
    <w:lvl w:ilvl="4" w:tplc="3D8A28FE" w:tentative="1">
      <w:start w:val="1"/>
      <w:numFmt w:val="bullet"/>
      <w:lvlText w:val="o"/>
      <w:lvlJc w:val="left"/>
      <w:pPr>
        <w:tabs>
          <w:tab w:val="num" w:pos="3600"/>
        </w:tabs>
        <w:ind w:left="3600" w:hanging="360"/>
      </w:pPr>
      <w:rPr>
        <w:rFonts w:ascii="Courier New" w:hAnsi="Courier New" w:hint="default"/>
      </w:rPr>
    </w:lvl>
    <w:lvl w:ilvl="5" w:tplc="041C1144" w:tentative="1">
      <w:start w:val="1"/>
      <w:numFmt w:val="bullet"/>
      <w:lvlText w:val=""/>
      <w:lvlJc w:val="left"/>
      <w:pPr>
        <w:tabs>
          <w:tab w:val="num" w:pos="4320"/>
        </w:tabs>
        <w:ind w:left="4320" w:hanging="360"/>
      </w:pPr>
      <w:rPr>
        <w:rFonts w:ascii="Wingdings" w:hAnsi="Wingdings" w:hint="default"/>
      </w:rPr>
    </w:lvl>
    <w:lvl w:ilvl="6" w:tplc="CA746ED4" w:tentative="1">
      <w:start w:val="1"/>
      <w:numFmt w:val="bullet"/>
      <w:lvlText w:val=""/>
      <w:lvlJc w:val="left"/>
      <w:pPr>
        <w:tabs>
          <w:tab w:val="num" w:pos="5040"/>
        </w:tabs>
        <w:ind w:left="5040" w:hanging="360"/>
      </w:pPr>
      <w:rPr>
        <w:rFonts w:ascii="Symbol" w:hAnsi="Symbol" w:hint="default"/>
      </w:rPr>
    </w:lvl>
    <w:lvl w:ilvl="7" w:tplc="254E7CF0" w:tentative="1">
      <w:start w:val="1"/>
      <w:numFmt w:val="bullet"/>
      <w:lvlText w:val="o"/>
      <w:lvlJc w:val="left"/>
      <w:pPr>
        <w:tabs>
          <w:tab w:val="num" w:pos="5760"/>
        </w:tabs>
        <w:ind w:left="5760" w:hanging="360"/>
      </w:pPr>
      <w:rPr>
        <w:rFonts w:ascii="Courier New" w:hAnsi="Courier New" w:hint="default"/>
      </w:rPr>
    </w:lvl>
    <w:lvl w:ilvl="8" w:tplc="A26CA6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0D3E523C">
      <w:start w:val="1"/>
      <w:numFmt w:val="bullet"/>
      <w:lvlText w:val=""/>
      <w:lvlJc w:val="left"/>
      <w:pPr>
        <w:tabs>
          <w:tab w:val="num" w:pos="720"/>
        </w:tabs>
        <w:ind w:left="720" w:hanging="360"/>
      </w:pPr>
      <w:rPr>
        <w:rFonts w:ascii="Symbol" w:hAnsi="Symbol" w:hint="default"/>
      </w:rPr>
    </w:lvl>
    <w:lvl w:ilvl="1" w:tplc="28E40680">
      <w:start w:val="1"/>
      <w:numFmt w:val="bullet"/>
      <w:lvlText w:val="o"/>
      <w:lvlJc w:val="left"/>
      <w:pPr>
        <w:tabs>
          <w:tab w:val="num" w:pos="1440"/>
        </w:tabs>
        <w:ind w:left="1440" w:hanging="360"/>
      </w:pPr>
      <w:rPr>
        <w:rFonts w:ascii="Courier New" w:hAnsi="Courier New" w:hint="default"/>
      </w:rPr>
    </w:lvl>
    <w:lvl w:ilvl="2" w:tplc="BC70A358" w:tentative="1">
      <w:start w:val="1"/>
      <w:numFmt w:val="bullet"/>
      <w:lvlText w:val=""/>
      <w:lvlJc w:val="left"/>
      <w:pPr>
        <w:tabs>
          <w:tab w:val="num" w:pos="2160"/>
        </w:tabs>
        <w:ind w:left="2160" w:hanging="360"/>
      </w:pPr>
      <w:rPr>
        <w:rFonts w:ascii="Wingdings" w:hAnsi="Wingdings" w:hint="default"/>
      </w:rPr>
    </w:lvl>
    <w:lvl w:ilvl="3" w:tplc="09B0EC7A" w:tentative="1">
      <w:start w:val="1"/>
      <w:numFmt w:val="bullet"/>
      <w:lvlText w:val=""/>
      <w:lvlJc w:val="left"/>
      <w:pPr>
        <w:tabs>
          <w:tab w:val="num" w:pos="2880"/>
        </w:tabs>
        <w:ind w:left="2880" w:hanging="360"/>
      </w:pPr>
      <w:rPr>
        <w:rFonts w:ascii="Symbol" w:hAnsi="Symbol" w:hint="default"/>
      </w:rPr>
    </w:lvl>
    <w:lvl w:ilvl="4" w:tplc="B3D47222" w:tentative="1">
      <w:start w:val="1"/>
      <w:numFmt w:val="bullet"/>
      <w:lvlText w:val="o"/>
      <w:lvlJc w:val="left"/>
      <w:pPr>
        <w:tabs>
          <w:tab w:val="num" w:pos="3600"/>
        </w:tabs>
        <w:ind w:left="3600" w:hanging="360"/>
      </w:pPr>
      <w:rPr>
        <w:rFonts w:ascii="Courier New" w:hAnsi="Courier New" w:hint="default"/>
      </w:rPr>
    </w:lvl>
    <w:lvl w:ilvl="5" w:tplc="F216DED0" w:tentative="1">
      <w:start w:val="1"/>
      <w:numFmt w:val="bullet"/>
      <w:lvlText w:val=""/>
      <w:lvlJc w:val="left"/>
      <w:pPr>
        <w:tabs>
          <w:tab w:val="num" w:pos="4320"/>
        </w:tabs>
        <w:ind w:left="4320" w:hanging="360"/>
      </w:pPr>
      <w:rPr>
        <w:rFonts w:ascii="Wingdings" w:hAnsi="Wingdings" w:hint="default"/>
      </w:rPr>
    </w:lvl>
    <w:lvl w:ilvl="6" w:tplc="79F2AAA0" w:tentative="1">
      <w:start w:val="1"/>
      <w:numFmt w:val="bullet"/>
      <w:lvlText w:val=""/>
      <w:lvlJc w:val="left"/>
      <w:pPr>
        <w:tabs>
          <w:tab w:val="num" w:pos="5040"/>
        </w:tabs>
        <w:ind w:left="5040" w:hanging="360"/>
      </w:pPr>
      <w:rPr>
        <w:rFonts w:ascii="Symbol" w:hAnsi="Symbol" w:hint="default"/>
      </w:rPr>
    </w:lvl>
    <w:lvl w:ilvl="7" w:tplc="4B6CCB9E" w:tentative="1">
      <w:start w:val="1"/>
      <w:numFmt w:val="bullet"/>
      <w:lvlText w:val="o"/>
      <w:lvlJc w:val="left"/>
      <w:pPr>
        <w:tabs>
          <w:tab w:val="num" w:pos="5760"/>
        </w:tabs>
        <w:ind w:left="5760" w:hanging="360"/>
      </w:pPr>
      <w:rPr>
        <w:rFonts w:ascii="Courier New" w:hAnsi="Courier New" w:hint="default"/>
      </w:rPr>
    </w:lvl>
    <w:lvl w:ilvl="8" w:tplc="E8BC2E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F888238E">
      <w:start w:val="1"/>
      <w:numFmt w:val="decimal"/>
      <w:pStyle w:val="References"/>
      <w:lvlText w:val="%1."/>
      <w:lvlJc w:val="left"/>
      <w:pPr>
        <w:tabs>
          <w:tab w:val="num" w:pos="360"/>
        </w:tabs>
        <w:ind w:left="360" w:hanging="360"/>
      </w:pPr>
      <w:rPr>
        <w:rFonts w:hint="default"/>
      </w:rPr>
    </w:lvl>
    <w:lvl w:ilvl="1" w:tplc="4536A63C">
      <w:start w:val="1"/>
      <w:numFmt w:val="lowerLetter"/>
      <w:lvlText w:val="%2."/>
      <w:lvlJc w:val="left"/>
      <w:pPr>
        <w:tabs>
          <w:tab w:val="num" w:pos="1620"/>
        </w:tabs>
        <w:ind w:left="1620" w:hanging="360"/>
      </w:pPr>
    </w:lvl>
    <w:lvl w:ilvl="2" w:tplc="D0723852" w:tentative="1">
      <w:start w:val="1"/>
      <w:numFmt w:val="lowerRoman"/>
      <w:lvlText w:val="%3."/>
      <w:lvlJc w:val="right"/>
      <w:pPr>
        <w:tabs>
          <w:tab w:val="num" w:pos="2340"/>
        </w:tabs>
        <w:ind w:left="2340" w:hanging="180"/>
      </w:pPr>
    </w:lvl>
    <w:lvl w:ilvl="3" w:tplc="075223A2" w:tentative="1">
      <w:start w:val="1"/>
      <w:numFmt w:val="decimal"/>
      <w:lvlText w:val="%4."/>
      <w:lvlJc w:val="left"/>
      <w:pPr>
        <w:tabs>
          <w:tab w:val="num" w:pos="3060"/>
        </w:tabs>
        <w:ind w:left="3060" w:hanging="360"/>
      </w:pPr>
    </w:lvl>
    <w:lvl w:ilvl="4" w:tplc="5D46CF76" w:tentative="1">
      <w:start w:val="1"/>
      <w:numFmt w:val="lowerLetter"/>
      <w:lvlText w:val="%5."/>
      <w:lvlJc w:val="left"/>
      <w:pPr>
        <w:tabs>
          <w:tab w:val="num" w:pos="3780"/>
        </w:tabs>
        <w:ind w:left="3780" w:hanging="360"/>
      </w:pPr>
    </w:lvl>
    <w:lvl w:ilvl="5" w:tplc="9AFEB31E" w:tentative="1">
      <w:start w:val="1"/>
      <w:numFmt w:val="lowerRoman"/>
      <w:lvlText w:val="%6."/>
      <w:lvlJc w:val="right"/>
      <w:pPr>
        <w:tabs>
          <w:tab w:val="num" w:pos="4500"/>
        </w:tabs>
        <w:ind w:left="4500" w:hanging="180"/>
      </w:pPr>
    </w:lvl>
    <w:lvl w:ilvl="6" w:tplc="3D346124" w:tentative="1">
      <w:start w:val="1"/>
      <w:numFmt w:val="decimal"/>
      <w:lvlText w:val="%7."/>
      <w:lvlJc w:val="left"/>
      <w:pPr>
        <w:tabs>
          <w:tab w:val="num" w:pos="5220"/>
        </w:tabs>
        <w:ind w:left="5220" w:hanging="360"/>
      </w:pPr>
    </w:lvl>
    <w:lvl w:ilvl="7" w:tplc="2D7678EA" w:tentative="1">
      <w:start w:val="1"/>
      <w:numFmt w:val="lowerLetter"/>
      <w:lvlText w:val="%8."/>
      <w:lvlJc w:val="left"/>
      <w:pPr>
        <w:tabs>
          <w:tab w:val="num" w:pos="5940"/>
        </w:tabs>
        <w:ind w:left="5940" w:hanging="360"/>
      </w:pPr>
    </w:lvl>
    <w:lvl w:ilvl="8" w:tplc="4486177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362F258">
      <w:start w:val="1"/>
      <w:numFmt w:val="bullet"/>
      <w:lvlText w:val=""/>
      <w:lvlJc w:val="left"/>
      <w:pPr>
        <w:tabs>
          <w:tab w:val="num" w:pos="720"/>
        </w:tabs>
        <w:ind w:left="720" w:hanging="360"/>
      </w:pPr>
      <w:rPr>
        <w:rFonts w:ascii="Symbol" w:hAnsi="Symbol" w:hint="default"/>
      </w:rPr>
    </w:lvl>
    <w:lvl w:ilvl="1" w:tplc="C58C2A40" w:tentative="1">
      <w:start w:val="1"/>
      <w:numFmt w:val="bullet"/>
      <w:lvlText w:val="o"/>
      <w:lvlJc w:val="left"/>
      <w:pPr>
        <w:tabs>
          <w:tab w:val="num" w:pos="1440"/>
        </w:tabs>
        <w:ind w:left="1440" w:hanging="360"/>
      </w:pPr>
      <w:rPr>
        <w:rFonts w:ascii="Courier New" w:hAnsi="Courier New" w:hint="default"/>
      </w:rPr>
    </w:lvl>
    <w:lvl w:ilvl="2" w:tplc="50948D7E" w:tentative="1">
      <w:start w:val="1"/>
      <w:numFmt w:val="bullet"/>
      <w:lvlText w:val=""/>
      <w:lvlJc w:val="left"/>
      <w:pPr>
        <w:tabs>
          <w:tab w:val="num" w:pos="2160"/>
        </w:tabs>
        <w:ind w:left="2160" w:hanging="360"/>
      </w:pPr>
      <w:rPr>
        <w:rFonts w:ascii="Wingdings" w:hAnsi="Wingdings" w:hint="default"/>
      </w:rPr>
    </w:lvl>
    <w:lvl w:ilvl="3" w:tplc="90465D70" w:tentative="1">
      <w:start w:val="1"/>
      <w:numFmt w:val="bullet"/>
      <w:lvlText w:val=""/>
      <w:lvlJc w:val="left"/>
      <w:pPr>
        <w:tabs>
          <w:tab w:val="num" w:pos="2880"/>
        </w:tabs>
        <w:ind w:left="2880" w:hanging="360"/>
      </w:pPr>
      <w:rPr>
        <w:rFonts w:ascii="Symbol" w:hAnsi="Symbol" w:hint="default"/>
      </w:rPr>
    </w:lvl>
    <w:lvl w:ilvl="4" w:tplc="158840F0" w:tentative="1">
      <w:start w:val="1"/>
      <w:numFmt w:val="bullet"/>
      <w:lvlText w:val="o"/>
      <w:lvlJc w:val="left"/>
      <w:pPr>
        <w:tabs>
          <w:tab w:val="num" w:pos="3600"/>
        </w:tabs>
        <w:ind w:left="3600" w:hanging="360"/>
      </w:pPr>
      <w:rPr>
        <w:rFonts w:ascii="Courier New" w:hAnsi="Courier New" w:hint="default"/>
      </w:rPr>
    </w:lvl>
    <w:lvl w:ilvl="5" w:tplc="A0985F46" w:tentative="1">
      <w:start w:val="1"/>
      <w:numFmt w:val="bullet"/>
      <w:lvlText w:val=""/>
      <w:lvlJc w:val="left"/>
      <w:pPr>
        <w:tabs>
          <w:tab w:val="num" w:pos="4320"/>
        </w:tabs>
        <w:ind w:left="4320" w:hanging="360"/>
      </w:pPr>
      <w:rPr>
        <w:rFonts w:ascii="Wingdings" w:hAnsi="Wingdings" w:hint="default"/>
      </w:rPr>
    </w:lvl>
    <w:lvl w:ilvl="6" w:tplc="7B084F32" w:tentative="1">
      <w:start w:val="1"/>
      <w:numFmt w:val="bullet"/>
      <w:lvlText w:val=""/>
      <w:lvlJc w:val="left"/>
      <w:pPr>
        <w:tabs>
          <w:tab w:val="num" w:pos="5040"/>
        </w:tabs>
        <w:ind w:left="5040" w:hanging="360"/>
      </w:pPr>
      <w:rPr>
        <w:rFonts w:ascii="Symbol" w:hAnsi="Symbol" w:hint="default"/>
      </w:rPr>
    </w:lvl>
    <w:lvl w:ilvl="7" w:tplc="B1A2042E" w:tentative="1">
      <w:start w:val="1"/>
      <w:numFmt w:val="bullet"/>
      <w:lvlText w:val="o"/>
      <w:lvlJc w:val="left"/>
      <w:pPr>
        <w:tabs>
          <w:tab w:val="num" w:pos="5760"/>
        </w:tabs>
        <w:ind w:left="5760" w:hanging="360"/>
      </w:pPr>
      <w:rPr>
        <w:rFonts w:ascii="Courier New" w:hAnsi="Courier New" w:hint="default"/>
      </w:rPr>
    </w:lvl>
    <w:lvl w:ilvl="8" w:tplc="AFB078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13D2C"/>
    <w:rsid w:val="0047543A"/>
    <w:rsid w:val="004A675F"/>
    <w:rsid w:val="004C048E"/>
    <w:rsid w:val="005A5112"/>
    <w:rsid w:val="00683919"/>
    <w:rsid w:val="00736717"/>
    <w:rsid w:val="008674F6"/>
    <w:rsid w:val="009306A1"/>
    <w:rsid w:val="009B581D"/>
    <w:rsid w:val="00A96D21"/>
    <w:rsid w:val="00B02B7D"/>
    <w:rsid w:val="00C275A8"/>
    <w:rsid w:val="00CA0507"/>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275B8"/>
  <w15:docId w15:val="{6F1746B3-476A-49F5-9232-C98E9E5F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customStyle="1" w:styleId="xmsonormal">
    <w:name w:val="x_msonormal"/>
    <w:basedOn w:val="Normal"/>
    <w:rsid w:val="00113D2C"/>
    <w:pPr>
      <w:spacing w:before="100" w:beforeAutospacing="1" w:after="100" w:afterAutospacing="1"/>
    </w:pPr>
    <w:rPr>
      <w:sz w:val="24"/>
      <w:szCs w:val="24"/>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163">
      <w:bodyDiv w:val="1"/>
      <w:marLeft w:val="0"/>
      <w:marRight w:val="0"/>
      <w:marTop w:val="0"/>
      <w:marBottom w:val="0"/>
      <w:divBdr>
        <w:top w:val="none" w:sz="0" w:space="0" w:color="auto"/>
        <w:left w:val="none" w:sz="0" w:space="0" w:color="auto"/>
        <w:bottom w:val="none" w:sz="0" w:space="0" w:color="auto"/>
        <w:right w:val="none" w:sz="0" w:space="0" w:color="auto"/>
      </w:divBdr>
    </w:div>
    <w:div w:id="1796941508">
      <w:bodyDiv w:val="1"/>
      <w:marLeft w:val="0"/>
      <w:marRight w:val="0"/>
      <w:marTop w:val="0"/>
      <w:marBottom w:val="0"/>
      <w:divBdr>
        <w:top w:val="none" w:sz="0" w:space="0" w:color="auto"/>
        <w:left w:val="none" w:sz="0" w:space="0" w:color="auto"/>
        <w:bottom w:val="none" w:sz="0" w:space="0" w:color="auto"/>
        <w:right w:val="none" w:sz="0" w:space="0" w:color="auto"/>
      </w:divBdr>
    </w:div>
    <w:div w:id="18729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4791</Words>
  <Characters>27313</Characters>
  <Application>Microsoft Office Word</Application>
  <DocSecurity>0</DocSecurity>
  <Lines>227</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Juan Martinez</cp:lastModifiedBy>
  <cp:revision>2</cp:revision>
  <cp:lastPrinted>2012-01-19T09:58:00Z</cp:lastPrinted>
  <dcterms:created xsi:type="dcterms:W3CDTF">2021-01-31T20:39:00Z</dcterms:created>
  <dcterms:modified xsi:type="dcterms:W3CDTF">2021-01-31T20:39:00Z</dcterms:modified>
</cp:coreProperties>
</file>