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CF" w:rsidRPr="005D1B38" w:rsidRDefault="00334CC2" w:rsidP="00334CC2">
      <w:pPr>
        <w:spacing w:after="240"/>
        <w:jc w:val="center"/>
      </w:pPr>
      <w:r w:rsidRPr="00334CC2">
        <w:rPr>
          <w:b/>
          <w:sz w:val="28"/>
          <w:szCs w:val="20"/>
          <w:lang w:eastAsia="fr-FR"/>
        </w:rPr>
        <w:t>ASSESSING THE VALUE OF DEMAND RESPONSE IN A DECARBONIZED ENERGY SYSTEM</w:t>
      </w:r>
    </w:p>
    <w:p w:rsidR="00896F83" w:rsidRDefault="00334CC2" w:rsidP="00334CC2">
      <w:pPr>
        <w:pStyle w:val="Affiliation"/>
        <w:rPr>
          <w:i w:val="0"/>
        </w:rPr>
      </w:pPr>
      <w:bookmarkStart w:id="0" w:name="authorName"/>
      <w:bookmarkEnd w:id="0"/>
      <w:r w:rsidRPr="00334CC2">
        <w:rPr>
          <w:i w:val="0"/>
        </w:rPr>
        <w:t>Steffi Misconel</w:t>
      </w:r>
      <w:r w:rsidRPr="00334CC2">
        <w:rPr>
          <w:i w:val="0"/>
          <w:vertAlign w:val="superscript"/>
        </w:rPr>
        <w:t>1</w:t>
      </w:r>
      <w:r>
        <w:rPr>
          <w:i w:val="0"/>
          <w:vertAlign w:val="superscript"/>
        </w:rPr>
        <w:t>)</w:t>
      </w:r>
      <w:r w:rsidRPr="00334CC2">
        <w:rPr>
          <w:i w:val="0"/>
          <w:vertAlign w:val="superscript"/>
        </w:rPr>
        <w:t>*</w:t>
      </w:r>
      <w:r w:rsidRPr="00334CC2">
        <w:rPr>
          <w:i w:val="0"/>
        </w:rPr>
        <w:t>, Christoph Zöphel</w:t>
      </w:r>
      <w:r w:rsidRPr="00334CC2">
        <w:rPr>
          <w:i w:val="0"/>
          <w:vertAlign w:val="superscript"/>
        </w:rPr>
        <w:t>1</w:t>
      </w:r>
      <w:r>
        <w:rPr>
          <w:i w:val="0"/>
          <w:vertAlign w:val="superscript"/>
        </w:rPr>
        <w:t>)</w:t>
      </w:r>
      <w:r w:rsidRPr="00334CC2">
        <w:rPr>
          <w:i w:val="0"/>
        </w:rPr>
        <w:t xml:space="preserve"> and Dominik Möst</w:t>
      </w:r>
      <w:r w:rsidRPr="00334CC2">
        <w:rPr>
          <w:i w:val="0"/>
          <w:vertAlign w:val="superscript"/>
        </w:rPr>
        <w:t>1</w:t>
      </w:r>
      <w:r>
        <w:rPr>
          <w:i w:val="0"/>
          <w:vertAlign w:val="superscript"/>
        </w:rPr>
        <w:t>)</w:t>
      </w:r>
    </w:p>
    <w:p w:rsidR="00334CC2" w:rsidRDefault="00334CC2" w:rsidP="00896F83">
      <w:pPr>
        <w:pStyle w:val="Affiliation"/>
        <w:jc w:val="both"/>
        <w:rPr>
          <w:i w:val="0"/>
        </w:rPr>
      </w:pPr>
    </w:p>
    <w:p w:rsidR="00334CC2" w:rsidRPr="002860B2" w:rsidRDefault="00334CC2" w:rsidP="00334CC2">
      <w:pPr>
        <w:autoSpaceDE w:val="0"/>
        <w:autoSpaceDN w:val="0"/>
        <w:adjustRightInd w:val="0"/>
        <w:ind w:left="360"/>
        <w:jc w:val="left"/>
        <w:rPr>
          <w:rFonts w:ascii="Palatino Linotype" w:hAnsi="Palatino Linotype" w:cs="Palatino Linotype"/>
          <w:color w:val="000000"/>
          <w:sz w:val="20"/>
          <w:szCs w:val="20"/>
          <w:lang w:eastAsia="en-US"/>
        </w:rPr>
      </w:pPr>
      <w:r w:rsidRPr="002860B2">
        <w:rPr>
          <w:rFonts w:ascii="Palatino Linotype" w:hAnsi="Palatino Linotype" w:cs="Palatino Linotype"/>
          <w:color w:val="000000"/>
          <w:sz w:val="20"/>
          <w:szCs w:val="20"/>
          <w:vertAlign w:val="superscript"/>
          <w:lang w:eastAsia="en-US"/>
        </w:rPr>
        <w:t>1)</w:t>
      </w:r>
      <w:r w:rsidRPr="002860B2">
        <w:rPr>
          <w:rFonts w:ascii="Palatino Linotype" w:hAnsi="Palatino Linotype" w:cs="Palatino Linotype"/>
          <w:color w:val="000000"/>
          <w:sz w:val="20"/>
          <w:szCs w:val="20"/>
          <w:lang w:eastAsia="en-US"/>
        </w:rPr>
        <w:t xml:space="preserve"> TU Dresden, Dpt. of Business Management and Economics, Chair of Energy Economics, D-01062 Dresden, Germany </w:t>
      </w:r>
    </w:p>
    <w:p w:rsidR="00ED742A" w:rsidRPr="002860B2" w:rsidRDefault="00334CC2" w:rsidP="00334CC2">
      <w:pPr>
        <w:autoSpaceDE w:val="0"/>
        <w:autoSpaceDN w:val="0"/>
        <w:adjustRightInd w:val="0"/>
        <w:ind w:left="360"/>
        <w:jc w:val="left"/>
        <w:rPr>
          <w:rFonts w:ascii="Palatino Linotype" w:hAnsi="Palatino Linotype" w:cs="Palatino Linotype"/>
          <w:color w:val="000000"/>
          <w:sz w:val="20"/>
          <w:szCs w:val="20"/>
          <w:lang w:eastAsia="en-US"/>
        </w:rPr>
      </w:pPr>
      <w:r w:rsidRPr="002860B2">
        <w:rPr>
          <w:rFonts w:ascii="Palatino Linotype" w:hAnsi="Palatino Linotype" w:cs="Palatino Linotype"/>
          <w:color w:val="000000"/>
          <w:sz w:val="20"/>
          <w:szCs w:val="20"/>
        </w:rPr>
        <w:t>* Corresponding author. E-mail: steffi.misconel@tu-dresden.de, Tel.: +49-351-463-39682</w:t>
      </w:r>
    </w:p>
    <w:p w:rsidR="00424AE8" w:rsidRPr="00896F83" w:rsidRDefault="00424AE8" w:rsidP="00896F83">
      <w:pPr>
        <w:pStyle w:val="Affiliation"/>
        <w:rPr>
          <w:i w:val="0"/>
        </w:rPr>
      </w:pPr>
    </w:p>
    <w:p w:rsidR="00983423" w:rsidRPr="005D1B38" w:rsidRDefault="00983423" w:rsidP="00896F83">
      <w:pPr>
        <w:pStyle w:val="Textkrper"/>
        <w:spacing w:after="0"/>
        <w:rPr>
          <w:lang w:eastAsia="ja-JP"/>
        </w:rPr>
      </w:pPr>
      <w:r w:rsidRPr="005D1B38">
        <w:rPr>
          <w:b/>
        </w:rPr>
        <w:t>Keywords:</w:t>
      </w:r>
      <w:r w:rsidRPr="005D1B38">
        <w:t xml:space="preserve"> </w:t>
      </w:r>
      <w:r w:rsidR="00334CC2" w:rsidRPr="00334CC2">
        <w:t>demand response, flexibility option, 100% renewable energy system, decarbonized power system, power system optimization model</w:t>
      </w:r>
    </w:p>
    <w:p w:rsidR="00791C4C" w:rsidRDefault="002860B2" w:rsidP="00436CB8">
      <w:pPr>
        <w:spacing w:before="240" w:line="312" w:lineRule="auto"/>
      </w:pPr>
      <w:r>
        <w:rPr>
          <w:b/>
          <w:color w:val="000000" w:themeColor="text1"/>
        </w:rPr>
        <w:t>Motivation</w:t>
      </w:r>
      <w:r w:rsidR="00E62A21">
        <w:rPr>
          <w:b/>
          <w:color w:val="000000" w:themeColor="text1"/>
        </w:rPr>
        <w:t xml:space="preserve">. </w:t>
      </w:r>
      <w:r w:rsidR="00E62A21">
        <w:rPr>
          <w:color w:val="000000" w:themeColor="text1"/>
        </w:rPr>
        <w:t>The</w:t>
      </w:r>
      <w:r w:rsidR="00791C4C" w:rsidRPr="00791C4C">
        <w:rPr>
          <w:color w:val="000000" w:themeColor="text1"/>
        </w:rPr>
        <w:t xml:space="preserve"> European Green Deal announced the overarching aim of making Europe climate neutral until 2050. Regarding th</w:t>
      </w:r>
      <w:r w:rsidR="00B72317">
        <w:rPr>
          <w:color w:val="000000" w:themeColor="text1"/>
        </w:rPr>
        <w:t>is ambitious</w:t>
      </w:r>
      <w:r w:rsidR="00791C4C" w:rsidRPr="00791C4C">
        <w:rPr>
          <w:color w:val="000000" w:themeColor="text1"/>
        </w:rPr>
        <w:t xml:space="preserve"> emission reduction target, the power sector plays a crucial </w:t>
      </w:r>
      <w:r w:rsidRPr="00791C4C">
        <w:rPr>
          <w:color w:val="000000" w:themeColor="text1"/>
        </w:rPr>
        <w:t>role,</w:t>
      </w:r>
      <w:r w:rsidR="00791C4C" w:rsidRPr="00791C4C">
        <w:rPr>
          <w:color w:val="000000" w:themeColor="text1"/>
        </w:rPr>
        <w:t xml:space="preserve"> as the sector is responsible for around 25%</w:t>
      </w:r>
      <w:r w:rsidR="00791C4C">
        <w:rPr>
          <w:color w:val="000000" w:themeColor="text1"/>
        </w:rPr>
        <w:t xml:space="preserve"> of the GHG emissions in Europe. </w:t>
      </w:r>
      <w:r w:rsidR="00791C4C" w:rsidRPr="00791C4C">
        <w:rPr>
          <w:color w:val="000000" w:themeColor="text1"/>
        </w:rPr>
        <w:t xml:space="preserve">Additionally, the electrification of </w:t>
      </w:r>
      <w:r w:rsidR="00B72317">
        <w:rPr>
          <w:color w:val="000000" w:themeColor="text1"/>
        </w:rPr>
        <w:t>demand side sectors</w:t>
      </w:r>
      <w:r w:rsidR="00791C4C" w:rsidRPr="00791C4C">
        <w:rPr>
          <w:color w:val="000000" w:themeColor="text1"/>
        </w:rPr>
        <w:t xml:space="preserve"> increases the importance of </w:t>
      </w:r>
      <w:proofErr w:type="spellStart"/>
      <w:r w:rsidR="00791C4C" w:rsidRPr="00791C4C">
        <w:rPr>
          <w:color w:val="000000" w:themeColor="text1"/>
        </w:rPr>
        <w:t>decarbonization</w:t>
      </w:r>
      <w:proofErr w:type="spellEnd"/>
      <w:r w:rsidR="00791C4C" w:rsidRPr="00791C4C">
        <w:rPr>
          <w:color w:val="000000" w:themeColor="text1"/>
        </w:rPr>
        <w:t xml:space="preserve"> measures for the electricity sector. For a sustainable transition, very high shares of renewable energy sources (RES) have to be integrated into the energy system. However, the intermittent nature of weather-dependent RES leads to an increasingly fluctuating electricity supply and induces a higher demand for power system flexibility,</w:t>
      </w:r>
      <w:r w:rsidR="00791C4C" w:rsidRPr="00791C4C">
        <w:t xml:space="preserve"> </w:t>
      </w:r>
      <w:r w:rsidR="00791C4C" w:rsidRPr="00791C4C">
        <w:rPr>
          <w:color w:val="000000" w:themeColor="text1"/>
        </w:rPr>
        <w:t>on both supply and demand side. Particularly, demand response (DR) is one promising option to increase load flexibility, since the increasing amount of stakeholder actively participating in energy supply and demand on regional level (e.g. distributed small-scale technologies) are also included.</w:t>
      </w:r>
    </w:p>
    <w:p w:rsidR="002860B2" w:rsidRDefault="002860B2" w:rsidP="00436CB8">
      <w:pPr>
        <w:spacing w:before="240" w:line="312" w:lineRule="auto"/>
        <w:rPr>
          <w:color w:val="000000" w:themeColor="text1"/>
        </w:rPr>
      </w:pPr>
      <w:r w:rsidRPr="002860B2">
        <w:rPr>
          <w:b/>
          <w:color w:val="000000" w:themeColor="text1"/>
        </w:rPr>
        <w:t>Methods</w:t>
      </w:r>
      <w:r w:rsidR="00E62A21">
        <w:rPr>
          <w:b/>
          <w:color w:val="000000" w:themeColor="text1"/>
        </w:rPr>
        <w:t xml:space="preserve">. </w:t>
      </w:r>
      <w:r w:rsidR="00B72317">
        <w:rPr>
          <w:color w:val="000000" w:themeColor="text1"/>
        </w:rPr>
        <w:t>This</w:t>
      </w:r>
      <w:r w:rsidR="00791C4C">
        <w:rPr>
          <w:color w:val="000000" w:themeColor="text1"/>
        </w:rPr>
        <w:t xml:space="preserve"> research</w:t>
      </w:r>
      <w:r w:rsidR="00376135" w:rsidRPr="00376135">
        <w:rPr>
          <w:color w:val="000000" w:themeColor="text1"/>
        </w:rPr>
        <w:t xml:space="preserve"> </w:t>
      </w:r>
      <w:r w:rsidR="00B72317">
        <w:rPr>
          <w:color w:val="000000" w:themeColor="text1"/>
        </w:rPr>
        <w:t xml:space="preserve">presents </w:t>
      </w:r>
      <w:r w:rsidR="00376135" w:rsidRPr="00376135">
        <w:rPr>
          <w:color w:val="000000" w:themeColor="text1"/>
        </w:rPr>
        <w:t>extensive insights on the val</w:t>
      </w:r>
      <w:r w:rsidR="00E62A21">
        <w:rPr>
          <w:color w:val="000000" w:themeColor="text1"/>
        </w:rPr>
        <w:t xml:space="preserve">ue of applying </w:t>
      </w:r>
      <w:r w:rsidR="00376135" w:rsidRPr="00376135">
        <w:rPr>
          <w:color w:val="000000" w:themeColor="text1"/>
        </w:rPr>
        <w:t>DR in a system perspective against the background of two strongly contrasting decarbonization pathways for a decentralized and centralized European energy system with a 100% renewable share and sector coupling. The pathways are characterized by structural differences concerning the combination of installed renewable capacities, the acceptance for activated DR potentials and different electricity, heat and hydrogen demands. The objective is to determine the potential role of DR and its impact on the optimal combinations of flexibility options in a decentralized vs. centralized scenario framework model-endogenously. Therefore, openly available data and hourly time series of country-specific DR potentials are implemented into a large-scale linear optimization model. Sensitivities concerning varying shares of DR availability are used to identify main influencing factors on selected components of the electricity system such as the capacity and generation mix, storage requirements, renewable integration and their market value factors, CO</w:t>
      </w:r>
      <w:r w:rsidR="00376135" w:rsidRPr="00775D41">
        <w:rPr>
          <w:color w:val="000000" w:themeColor="text1"/>
          <w:vertAlign w:val="subscript"/>
        </w:rPr>
        <w:t>2</w:t>
      </w:r>
      <w:r w:rsidR="00376135" w:rsidRPr="00376135">
        <w:rPr>
          <w:color w:val="000000" w:themeColor="text1"/>
        </w:rPr>
        <w:t xml:space="preserve"> emissions</w:t>
      </w:r>
      <w:r>
        <w:rPr>
          <w:color w:val="000000" w:themeColor="text1"/>
        </w:rPr>
        <w:t xml:space="preserve"> </w:t>
      </w:r>
      <w:r w:rsidR="00376135" w:rsidRPr="00376135">
        <w:rPr>
          <w:color w:val="000000" w:themeColor="text1"/>
        </w:rPr>
        <w:t xml:space="preserve">and total system costs. </w:t>
      </w:r>
    </w:p>
    <w:p w:rsidR="001953F0" w:rsidRDefault="002860B2" w:rsidP="00436CB8">
      <w:pPr>
        <w:spacing w:before="240" w:line="312" w:lineRule="auto"/>
        <w:rPr>
          <w:color w:val="000000" w:themeColor="text1"/>
        </w:rPr>
      </w:pPr>
      <w:r w:rsidRPr="002860B2">
        <w:rPr>
          <w:b/>
          <w:color w:val="000000" w:themeColor="text1"/>
        </w:rPr>
        <w:lastRenderedPageBreak/>
        <w:t>Results</w:t>
      </w:r>
      <w:r w:rsidR="00E62A21">
        <w:rPr>
          <w:b/>
          <w:color w:val="000000" w:themeColor="text1"/>
        </w:rPr>
        <w:t xml:space="preserve">. </w:t>
      </w:r>
      <w:r w:rsidR="00376135" w:rsidRPr="00376135">
        <w:rPr>
          <w:color w:val="000000" w:themeColor="text1"/>
        </w:rPr>
        <w:t>Model results show a higher reduction of total system costs and CO</w:t>
      </w:r>
      <w:r w:rsidR="00376135" w:rsidRPr="00984BDE">
        <w:rPr>
          <w:color w:val="000000" w:themeColor="text1"/>
          <w:vertAlign w:val="subscript"/>
        </w:rPr>
        <w:t>2</w:t>
      </w:r>
      <w:r w:rsidR="00376135" w:rsidRPr="00376135">
        <w:rPr>
          <w:color w:val="000000" w:themeColor="text1"/>
        </w:rPr>
        <w:t xml:space="preserve"> emissions per activated DR unit in the PV dom</w:t>
      </w:r>
      <w:r w:rsidR="00285FFD">
        <w:rPr>
          <w:color w:val="000000" w:themeColor="text1"/>
        </w:rPr>
        <w:t>inated decentralized scenario (</w:t>
      </w:r>
      <w:r w:rsidR="00285FFD">
        <w:rPr>
          <w:color w:val="000000" w:themeColor="text1"/>
        </w:rPr>
        <w:noBreakHyphen/>
      </w:r>
      <w:r w:rsidR="00376135" w:rsidRPr="00376135">
        <w:rPr>
          <w:color w:val="000000" w:themeColor="text1"/>
        </w:rPr>
        <w:t>55</w:t>
      </w:r>
      <w:r w:rsidR="00285FFD">
        <w:rPr>
          <w:color w:val="000000" w:themeColor="text1"/>
        </w:rPr>
        <w:t> </w:t>
      </w:r>
      <w:r w:rsidR="00376135" w:rsidRPr="00376135">
        <w:rPr>
          <w:color w:val="000000" w:themeColor="text1"/>
        </w:rPr>
        <w:t>MEUR/GW</w:t>
      </w:r>
      <w:r w:rsidR="00376135" w:rsidRPr="00775D41">
        <w:rPr>
          <w:color w:val="000000" w:themeColor="text1"/>
          <w:vertAlign w:val="subscript"/>
        </w:rPr>
        <w:t>DR</w:t>
      </w:r>
      <w:r w:rsidR="00285FFD">
        <w:rPr>
          <w:color w:val="000000" w:themeColor="text1"/>
        </w:rPr>
        <w:t xml:space="preserve">, </w:t>
      </w:r>
      <w:r w:rsidR="00285FFD">
        <w:rPr>
          <w:color w:val="000000" w:themeColor="text1"/>
        </w:rPr>
        <w:noBreakHyphen/>
        <w:t>0.045 </w:t>
      </w:r>
      <w:r w:rsidR="00376135" w:rsidRPr="00376135">
        <w:rPr>
          <w:color w:val="000000" w:themeColor="text1"/>
        </w:rPr>
        <w:t>Mt</w:t>
      </w:r>
      <w:r w:rsidR="00376135" w:rsidRPr="00775D41">
        <w:rPr>
          <w:color w:val="000000" w:themeColor="text1"/>
          <w:vertAlign w:val="subscript"/>
        </w:rPr>
        <w:t>CO2</w:t>
      </w:r>
      <w:r w:rsidR="00376135" w:rsidRPr="00376135">
        <w:rPr>
          <w:color w:val="000000" w:themeColor="text1"/>
        </w:rPr>
        <w:t>/GW</w:t>
      </w:r>
      <w:r w:rsidR="00376135" w:rsidRPr="00775D41">
        <w:rPr>
          <w:color w:val="000000" w:themeColor="text1"/>
          <w:vertAlign w:val="subscript"/>
        </w:rPr>
        <w:t>DR</w:t>
      </w:r>
      <w:r w:rsidR="00376135" w:rsidRPr="00376135">
        <w:rPr>
          <w:color w:val="000000" w:themeColor="text1"/>
        </w:rPr>
        <w:t>), compared to the wind d</w:t>
      </w:r>
      <w:r w:rsidR="00285FFD">
        <w:rPr>
          <w:color w:val="000000" w:themeColor="text1"/>
        </w:rPr>
        <w:t>ominated centralized scenario (</w:t>
      </w:r>
      <w:r w:rsidR="00285FFD">
        <w:rPr>
          <w:color w:val="000000" w:themeColor="text1"/>
        </w:rPr>
        <w:noBreakHyphen/>
      </w:r>
      <w:r w:rsidR="00376135" w:rsidRPr="00376135">
        <w:rPr>
          <w:color w:val="000000" w:themeColor="text1"/>
        </w:rPr>
        <w:t>39</w:t>
      </w:r>
      <w:r w:rsidR="00285FFD">
        <w:rPr>
          <w:color w:val="000000" w:themeColor="text1"/>
        </w:rPr>
        <w:t> </w:t>
      </w:r>
      <w:r w:rsidR="00376135" w:rsidRPr="00376135">
        <w:rPr>
          <w:color w:val="000000" w:themeColor="text1"/>
        </w:rPr>
        <w:t>MEUR/GW</w:t>
      </w:r>
      <w:r w:rsidR="00376135" w:rsidRPr="00285FFD">
        <w:rPr>
          <w:color w:val="000000" w:themeColor="text1"/>
          <w:vertAlign w:val="subscript"/>
        </w:rPr>
        <w:t>DR</w:t>
      </w:r>
      <w:r w:rsidR="00376135" w:rsidRPr="00376135">
        <w:rPr>
          <w:color w:val="000000" w:themeColor="text1"/>
        </w:rPr>
        <w:t xml:space="preserve">, </w:t>
      </w:r>
      <w:r w:rsidR="00285FFD">
        <w:rPr>
          <w:color w:val="000000" w:themeColor="text1"/>
        </w:rPr>
        <w:noBreakHyphen/>
      </w:r>
      <w:r w:rsidR="00376135" w:rsidRPr="00376135">
        <w:rPr>
          <w:color w:val="000000" w:themeColor="text1"/>
        </w:rPr>
        <w:t>0.037</w:t>
      </w:r>
      <w:r w:rsidR="00285FFD">
        <w:rPr>
          <w:color w:val="000000" w:themeColor="text1"/>
        </w:rPr>
        <w:t> </w:t>
      </w:r>
      <w:r w:rsidR="00376135" w:rsidRPr="00376135">
        <w:rPr>
          <w:color w:val="000000" w:themeColor="text1"/>
        </w:rPr>
        <w:t>Mt</w:t>
      </w:r>
      <w:r w:rsidR="00376135" w:rsidRPr="00775D41">
        <w:rPr>
          <w:color w:val="000000" w:themeColor="text1"/>
          <w:vertAlign w:val="subscript"/>
        </w:rPr>
        <w:t>CO2</w:t>
      </w:r>
      <w:r w:rsidR="00376135" w:rsidRPr="00376135">
        <w:rPr>
          <w:color w:val="000000" w:themeColor="text1"/>
        </w:rPr>
        <w:t>/GW</w:t>
      </w:r>
      <w:r w:rsidR="00376135" w:rsidRPr="00775D41">
        <w:rPr>
          <w:color w:val="000000" w:themeColor="text1"/>
          <w:vertAlign w:val="subscript"/>
        </w:rPr>
        <w:t>DR</w:t>
      </w:r>
      <w:r w:rsidR="00376135" w:rsidRPr="00376135">
        <w:rPr>
          <w:color w:val="000000" w:themeColor="text1"/>
        </w:rPr>
        <w:t>). The outcomes conclude that the daily PV feed-in characteristics have a higher correlation with the time pattern of load shifting and shedding DR appliances than wind feed-in characteristics.</w:t>
      </w:r>
    </w:p>
    <w:p w:rsidR="004D0143" w:rsidRPr="004D0143" w:rsidRDefault="00B16C5D" w:rsidP="00436CB8">
      <w:pPr>
        <w:spacing w:before="240" w:line="312" w:lineRule="auto"/>
        <w:rPr>
          <w:lang w:val="en-GB"/>
        </w:rPr>
      </w:pPr>
      <w:r w:rsidRPr="00B030C7">
        <w:rPr>
          <w:b/>
          <w:color w:val="000000" w:themeColor="text1"/>
          <w:lang w:eastAsia="de-DE"/>
        </w:rPr>
        <w:t>CV</w:t>
      </w:r>
      <w:r w:rsidR="001B3FFF">
        <w:rPr>
          <w:b/>
          <w:color w:val="000000" w:themeColor="text1"/>
          <w:lang w:eastAsia="de-DE"/>
        </w:rPr>
        <w:t xml:space="preserve">. </w:t>
      </w:r>
      <w:r w:rsidR="00334CC2" w:rsidRPr="001B3FFF">
        <w:rPr>
          <w:bCs/>
        </w:rPr>
        <w:t>Steffi Misconel</w:t>
      </w:r>
      <w:r w:rsidR="00334CC2">
        <w:rPr>
          <w:b/>
          <w:bCs/>
        </w:rPr>
        <w:t xml:space="preserve"> </w:t>
      </w:r>
      <w:r w:rsidR="00334CC2">
        <w:t xml:space="preserve">is a </w:t>
      </w:r>
      <w:r w:rsidR="00B72317">
        <w:t>PhD R</w:t>
      </w:r>
      <w:r w:rsidR="00334CC2">
        <w:t>esearcher</w:t>
      </w:r>
      <w:r w:rsidR="00B72317">
        <w:t xml:space="preserve"> and Research Associate</w:t>
      </w:r>
      <w:r w:rsidR="00334CC2">
        <w:t xml:space="preserve"> at the Chair of Energy Economics at the </w:t>
      </w:r>
      <w:proofErr w:type="spellStart"/>
      <w:r w:rsidR="00334CC2">
        <w:t>Technische</w:t>
      </w:r>
      <w:proofErr w:type="spellEnd"/>
      <w:r w:rsidR="00334CC2">
        <w:t xml:space="preserve"> </w:t>
      </w:r>
      <w:proofErr w:type="spellStart"/>
      <w:r w:rsidR="00334CC2">
        <w:t>Universit</w:t>
      </w:r>
      <w:bookmarkStart w:id="1" w:name="_GoBack"/>
      <w:bookmarkEnd w:id="1"/>
      <w:r w:rsidR="00334CC2">
        <w:t>ät</w:t>
      </w:r>
      <w:proofErr w:type="spellEnd"/>
      <w:r w:rsidR="00334CC2">
        <w:t xml:space="preserve"> (TU) Dresden.</w:t>
      </w:r>
      <w:r w:rsidR="00B72317">
        <w:t xml:space="preserve"> </w:t>
      </w:r>
      <w:r w:rsidR="00816B21">
        <w:t>Recently, she</w:t>
      </w:r>
      <w:r w:rsidR="00B72317">
        <w:t xml:space="preserve"> was</w:t>
      </w:r>
      <w:r w:rsidR="00B72317" w:rsidRPr="00B72317">
        <w:t xml:space="preserve"> one of the coordinators of the REFLEX project funded by the EU’s Horizon 2020 res</w:t>
      </w:r>
      <w:r w:rsidR="003B481A">
        <w:t xml:space="preserve">earch and innovation </w:t>
      </w:r>
      <w:proofErr w:type="spellStart"/>
      <w:r w:rsidR="003B481A">
        <w:t>programme</w:t>
      </w:r>
      <w:proofErr w:type="spellEnd"/>
      <w:r w:rsidR="003B481A">
        <w:t>. The project</w:t>
      </w:r>
      <w:r w:rsidR="00B72317" w:rsidRPr="00B72317">
        <w:t xml:space="preserve"> results </w:t>
      </w:r>
      <w:proofErr w:type="gramStart"/>
      <w:r w:rsidR="00B72317">
        <w:t xml:space="preserve">are </w:t>
      </w:r>
      <w:r w:rsidR="003B481A">
        <w:t>summarized</w:t>
      </w:r>
      <w:proofErr w:type="gramEnd"/>
      <w:r w:rsidR="00B72317">
        <w:t xml:space="preserve"> in the open-access </w:t>
      </w:r>
      <w:r w:rsidR="00B72317" w:rsidRPr="003B481A">
        <w:t>book “The Future European Energy System - Renewable Energy, Flexibility Options and Technological Progress”.</w:t>
      </w:r>
      <w:r w:rsidR="00B72317">
        <w:t xml:space="preserve"> </w:t>
      </w:r>
      <w:r w:rsidR="00816B21">
        <w:t>She is currently</w:t>
      </w:r>
      <w:r w:rsidR="00B72317">
        <w:t xml:space="preserve"> working on the project </w:t>
      </w:r>
      <w:r w:rsidR="001B3FFF">
        <w:t>“</w:t>
      </w:r>
      <w:r w:rsidR="003B481A">
        <w:t>Model E</w:t>
      </w:r>
      <w:r w:rsidR="001B3FFF" w:rsidRPr="001B3FFF">
        <w:t xml:space="preserve">xperiments on </w:t>
      </w:r>
      <w:r w:rsidR="003B481A">
        <w:t>Development Pathways for New E</w:t>
      </w:r>
      <w:r w:rsidR="001B3FFF" w:rsidRPr="001B3FFF">
        <w:t xml:space="preserve">lectricity </w:t>
      </w:r>
      <w:r w:rsidR="003B481A">
        <w:t>Applications and their I</w:t>
      </w:r>
      <w:r w:rsidR="001B3FFF" w:rsidRPr="001B3FFF">
        <w:t xml:space="preserve">mpacts on </w:t>
      </w:r>
      <w:r w:rsidR="003B481A">
        <w:t>Critical Electricity Supply S</w:t>
      </w:r>
      <w:r w:rsidR="001B3FFF" w:rsidRPr="001B3FFF">
        <w:t>ituations</w:t>
      </w:r>
      <w:r w:rsidR="001B3FFF">
        <w:t>”</w:t>
      </w:r>
      <w:r w:rsidR="001B3FFF" w:rsidRPr="001B3FFF">
        <w:t xml:space="preserve"> </w:t>
      </w:r>
      <w:r w:rsidR="00B72317">
        <w:t>(</w:t>
      </w:r>
      <w:proofErr w:type="spellStart"/>
      <w:r w:rsidR="00B72317">
        <w:t>Modex-EnSAVes</w:t>
      </w:r>
      <w:proofErr w:type="spellEnd"/>
      <w:r w:rsidR="00B72317">
        <w:t xml:space="preserve">), which is part of the Energy Research Program of the German Federal Government. </w:t>
      </w:r>
      <w:r w:rsidR="00334CC2">
        <w:t>Her research focus</w:t>
      </w:r>
      <w:r w:rsidR="003B481A">
        <w:t>es</w:t>
      </w:r>
      <w:r w:rsidR="00334CC2">
        <w:t xml:space="preserve"> on energy system modeling and analysis of possible decarbonization pathways for the European electricity system, in particular flexibility options and sector coupling, and the system integration of renewable energy sources.</w:t>
      </w:r>
    </w:p>
    <w:p w:rsidR="004668D8" w:rsidRDefault="004668D8" w:rsidP="00B749FB">
      <w:pPr>
        <w:rPr>
          <w:lang w:val="en-GB"/>
        </w:rPr>
      </w:pPr>
    </w:p>
    <w:sectPr w:rsidR="004668D8" w:rsidSect="00A543B6">
      <w:headerReference w:type="default" r:id="rId7"/>
      <w:footerReference w:type="default" r:id="rId8"/>
      <w:pgSz w:w="12242" w:h="15842" w:code="1"/>
      <w:pgMar w:top="1418" w:right="1418" w:bottom="1418" w:left="1418" w:header="709" w:footer="709" w:gutter="0"/>
      <w:cols w:space="244" w:equalWidth="0">
        <w:col w:w="9384" w:space="24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97" w:rsidRDefault="00FE3197" w:rsidP="00896F83">
      <w:r>
        <w:separator/>
      </w:r>
    </w:p>
  </w:endnote>
  <w:endnote w:type="continuationSeparator" w:id="0">
    <w:p w:rsidR="00FE3197" w:rsidRDefault="00FE3197" w:rsidP="0089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682901"/>
      <w:docPartObj>
        <w:docPartGallery w:val="Page Numbers (Bottom of Page)"/>
        <w:docPartUnique/>
      </w:docPartObj>
    </w:sdtPr>
    <w:sdtEndPr/>
    <w:sdtContent>
      <w:p w:rsidR="00AE7058" w:rsidRDefault="00AE7058">
        <w:pPr>
          <w:pStyle w:val="Fuzeile"/>
          <w:jc w:val="right"/>
        </w:pPr>
        <w:r>
          <w:fldChar w:fldCharType="begin"/>
        </w:r>
        <w:r>
          <w:instrText>PAGE   \* MERGEFORMAT</w:instrText>
        </w:r>
        <w:r>
          <w:fldChar w:fldCharType="separate"/>
        </w:r>
        <w:r w:rsidR="00285FFD" w:rsidRPr="00285FFD">
          <w:rPr>
            <w:noProof/>
            <w:lang w:val="de-DE"/>
          </w:rPr>
          <w:t>2</w:t>
        </w:r>
        <w:r>
          <w:fldChar w:fldCharType="end"/>
        </w:r>
      </w:p>
    </w:sdtContent>
  </w:sdt>
  <w:p w:rsidR="00AE7058" w:rsidRDefault="00AE70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97" w:rsidRDefault="00FE3197" w:rsidP="00896F83">
      <w:r>
        <w:separator/>
      </w:r>
    </w:p>
  </w:footnote>
  <w:footnote w:type="continuationSeparator" w:id="0">
    <w:p w:rsidR="00FE3197" w:rsidRDefault="00FE3197" w:rsidP="0089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2A" w:rsidRPr="00896F83" w:rsidRDefault="00261A2A" w:rsidP="00896F83">
    <w:pPr>
      <w:pStyle w:val="Kopfzeile"/>
      <w:jc w:val="center"/>
      <w:rPr>
        <w:b/>
      </w:rPr>
    </w:pPr>
    <w:r w:rsidRPr="00896F83">
      <w:rPr>
        <w:b/>
      </w:rPr>
      <w:t>A</w:t>
    </w:r>
    <w:r w:rsidR="008A5413">
      <w:rPr>
        <w:b/>
      </w:rPr>
      <w:t xml:space="preserve">bstract for </w:t>
    </w:r>
    <w:r w:rsidR="00285FFD">
      <w:rPr>
        <w:b/>
      </w:rPr>
      <w:t>IAEE</w:t>
    </w:r>
    <w:r w:rsidR="008A5413">
      <w:rPr>
        <w:b/>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F81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42329"/>
    <w:multiLevelType w:val="multilevel"/>
    <w:tmpl w:val="8AE64164"/>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421081"/>
    <w:multiLevelType w:val="hybridMultilevel"/>
    <w:tmpl w:val="CB3A2592"/>
    <w:lvl w:ilvl="0" w:tplc="C10ED3BE">
      <w:start w:val="1"/>
      <w:numFmt w:val="bullet"/>
      <w:lvlText w:val=""/>
      <w:lvlJc w:val="left"/>
      <w:pPr>
        <w:ind w:left="1440" w:hanging="360"/>
      </w:pPr>
      <w:rPr>
        <w:rFonts w:ascii="Symbol" w:eastAsia="Times New Roman" w:hAnsi="Symbol" w:cs="Palatino Linotype" w:hint="default"/>
        <w:color w:val="00000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4"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5" w15:restartNumberingAfterBreak="0">
    <w:nsid w:val="1A63706D"/>
    <w:multiLevelType w:val="hybridMultilevel"/>
    <w:tmpl w:val="A2A2A050"/>
    <w:lvl w:ilvl="0" w:tplc="08160011">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246C6FCE"/>
    <w:multiLevelType w:val="hybridMultilevel"/>
    <w:tmpl w:val="D458CF1A"/>
    <w:lvl w:ilvl="0" w:tplc="F214A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1F3C"/>
    <w:multiLevelType w:val="hybridMultilevel"/>
    <w:tmpl w:val="E6EECCFA"/>
    <w:lvl w:ilvl="0" w:tplc="A0846E96">
      <w:start w:val="1"/>
      <w:numFmt w:val="bullet"/>
      <w:lvlText w:val=""/>
      <w:lvlJc w:val="left"/>
      <w:pPr>
        <w:ind w:left="720" w:hanging="360"/>
      </w:pPr>
      <w:rPr>
        <w:rFonts w:ascii="Symbol" w:eastAsia="Times New Roman" w:hAnsi="Symbol" w:cs="Palatino Linotype"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90D46"/>
    <w:multiLevelType w:val="hybridMultilevel"/>
    <w:tmpl w:val="BA9A4F18"/>
    <w:lvl w:ilvl="0" w:tplc="CFDA6B24">
      <w:start w:val="1"/>
      <w:numFmt w:val="bullet"/>
      <w:lvlText w:val=""/>
      <w:lvlJc w:val="left"/>
      <w:pPr>
        <w:ind w:left="720" w:hanging="360"/>
      </w:pPr>
      <w:rPr>
        <w:rFonts w:ascii="Symbol" w:eastAsia="Times New Roman" w:hAnsi="Symbol" w:cs="Palatino Linotype"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21CDF"/>
    <w:multiLevelType w:val="hybridMultilevel"/>
    <w:tmpl w:val="A922FA90"/>
    <w:lvl w:ilvl="0" w:tplc="EB440DC6">
      <w:start w:val="1"/>
      <w:numFmt w:val="bullet"/>
      <w:lvlText w:val=""/>
      <w:lvlJc w:val="left"/>
      <w:pPr>
        <w:ind w:left="1080" w:hanging="360"/>
      </w:pPr>
      <w:rPr>
        <w:rFonts w:ascii="Symbol" w:eastAsia="Times New Roman" w:hAnsi="Symbol" w:cs="Palatino Linotype" w:hint="default"/>
        <w:color w:val="00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5A19AC"/>
    <w:multiLevelType w:val="hybridMultilevel"/>
    <w:tmpl w:val="8AE64164"/>
    <w:lvl w:ilvl="0" w:tplc="08160011">
      <w:start w:val="1"/>
      <w:numFmt w:val="decimal"/>
      <w:lvlText w:val="%1)"/>
      <w:lvlJc w:val="left"/>
      <w:pPr>
        <w:tabs>
          <w:tab w:val="num" w:pos="720"/>
        </w:tabs>
        <w:ind w:left="720" w:hanging="360"/>
      </w:pPr>
    </w:lvl>
    <w:lvl w:ilvl="1" w:tplc="F9D04952">
      <w:start w:val="1"/>
      <w:numFmt w:val="lowerRoman"/>
      <w:lvlText w:val="%2)"/>
      <w:lvlJc w:val="left"/>
      <w:pPr>
        <w:tabs>
          <w:tab w:val="num" w:pos="1440"/>
        </w:tabs>
        <w:ind w:left="1440" w:hanging="360"/>
      </w:pPr>
      <w:rPr>
        <w:rFonts w:ascii="Times New Roman" w:eastAsia="Times New Roman" w:hAnsi="Times New Roman" w:cs="Times New Roman"/>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5F673A32"/>
    <w:multiLevelType w:val="multilevel"/>
    <w:tmpl w:val="B45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B7009"/>
    <w:multiLevelType w:val="hybridMultilevel"/>
    <w:tmpl w:val="C57E2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4"/>
  </w:num>
  <w:num w:numId="4">
    <w:abstractNumId w:val="3"/>
  </w:num>
  <w:num w:numId="5">
    <w:abstractNumId w:val="3"/>
  </w:num>
  <w:num w:numId="6">
    <w:abstractNumId w:val="10"/>
  </w:num>
  <w:num w:numId="7">
    <w:abstractNumId w:val="4"/>
  </w:num>
  <w:num w:numId="8">
    <w:abstractNumId w:val="3"/>
  </w:num>
  <w:num w:numId="9">
    <w:abstractNumId w:val="3"/>
    <w:lvlOverride w:ilvl="0">
      <w:startOverride w:val="1"/>
    </w:lvlOverride>
  </w:num>
  <w:num w:numId="10">
    <w:abstractNumId w:val="1"/>
  </w:num>
  <w:num w:numId="11">
    <w:abstractNumId w:val="5"/>
  </w:num>
  <w:num w:numId="12">
    <w:abstractNumId w:val="4"/>
  </w:num>
  <w:num w:numId="13">
    <w:abstractNumId w:val="4"/>
  </w:num>
  <w:num w:numId="14">
    <w:abstractNumId w:val="4"/>
  </w:num>
  <w:num w:numId="15">
    <w:abstractNumId w:val="4"/>
  </w:num>
  <w:num w:numId="16">
    <w:abstractNumId w:val="4"/>
  </w:num>
  <w:num w:numId="17">
    <w:abstractNumId w:val="3"/>
    <w:lvlOverride w:ilvl="0">
      <w:startOverride w:val="1"/>
    </w:lvlOverride>
  </w:num>
  <w:num w:numId="18">
    <w:abstractNumId w:val="4"/>
  </w:num>
  <w:num w:numId="19">
    <w:abstractNumId w:val="0"/>
  </w:num>
  <w:num w:numId="20">
    <w:abstractNumId w:val="11"/>
  </w:num>
  <w:num w:numId="21">
    <w:abstractNumId w:val="7"/>
  </w:num>
  <w:num w:numId="22">
    <w:abstractNumId w:val="6"/>
  </w:num>
  <w:num w:numId="23">
    <w:abstractNumId w:val="8"/>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99"/>
    <w:rsid w:val="000013D2"/>
    <w:rsid w:val="000123F6"/>
    <w:rsid w:val="00012C3E"/>
    <w:rsid w:val="00015C6C"/>
    <w:rsid w:val="00027E10"/>
    <w:rsid w:val="00033F6C"/>
    <w:rsid w:val="00033F8C"/>
    <w:rsid w:val="00043BD2"/>
    <w:rsid w:val="000463F3"/>
    <w:rsid w:val="0004792B"/>
    <w:rsid w:val="00047E0E"/>
    <w:rsid w:val="00065AD1"/>
    <w:rsid w:val="00065EC4"/>
    <w:rsid w:val="00067738"/>
    <w:rsid w:val="000719B0"/>
    <w:rsid w:val="00072CCA"/>
    <w:rsid w:val="000800C9"/>
    <w:rsid w:val="00083836"/>
    <w:rsid w:val="00084179"/>
    <w:rsid w:val="00086349"/>
    <w:rsid w:val="0009113B"/>
    <w:rsid w:val="00092548"/>
    <w:rsid w:val="00096915"/>
    <w:rsid w:val="000A4A5D"/>
    <w:rsid w:val="000B0399"/>
    <w:rsid w:val="000B0F26"/>
    <w:rsid w:val="000B499F"/>
    <w:rsid w:val="000C06A0"/>
    <w:rsid w:val="000C3A42"/>
    <w:rsid w:val="000D6025"/>
    <w:rsid w:val="000F240C"/>
    <w:rsid w:val="000F4D7D"/>
    <w:rsid w:val="000F5433"/>
    <w:rsid w:val="00101438"/>
    <w:rsid w:val="00105483"/>
    <w:rsid w:val="00106638"/>
    <w:rsid w:val="00112DC7"/>
    <w:rsid w:val="001245A9"/>
    <w:rsid w:val="00130724"/>
    <w:rsid w:val="001441C9"/>
    <w:rsid w:val="0014592A"/>
    <w:rsid w:val="00150D58"/>
    <w:rsid w:val="00155BE6"/>
    <w:rsid w:val="00156065"/>
    <w:rsid w:val="00157F7A"/>
    <w:rsid w:val="00166F73"/>
    <w:rsid w:val="001749D5"/>
    <w:rsid w:val="00177B52"/>
    <w:rsid w:val="00191C8B"/>
    <w:rsid w:val="001953F0"/>
    <w:rsid w:val="001A3394"/>
    <w:rsid w:val="001B3FFF"/>
    <w:rsid w:val="001B700B"/>
    <w:rsid w:val="001C40CB"/>
    <w:rsid w:val="001C56D0"/>
    <w:rsid w:val="001D42C3"/>
    <w:rsid w:val="001E3027"/>
    <w:rsid w:val="00211E4A"/>
    <w:rsid w:val="00221490"/>
    <w:rsid w:val="00241BDF"/>
    <w:rsid w:val="002520F9"/>
    <w:rsid w:val="00256616"/>
    <w:rsid w:val="00261A2A"/>
    <w:rsid w:val="00264DD5"/>
    <w:rsid w:val="0026510E"/>
    <w:rsid w:val="002661CF"/>
    <w:rsid w:val="00274634"/>
    <w:rsid w:val="002817B6"/>
    <w:rsid w:val="00285FFD"/>
    <w:rsid w:val="002860B2"/>
    <w:rsid w:val="002953E2"/>
    <w:rsid w:val="00295E3C"/>
    <w:rsid w:val="00296CF7"/>
    <w:rsid w:val="002A026F"/>
    <w:rsid w:val="002A0D34"/>
    <w:rsid w:val="002A538F"/>
    <w:rsid w:val="002E4F35"/>
    <w:rsid w:val="002F0A18"/>
    <w:rsid w:val="002F1EA8"/>
    <w:rsid w:val="003238DF"/>
    <w:rsid w:val="003261DD"/>
    <w:rsid w:val="00326C09"/>
    <w:rsid w:val="00334CC2"/>
    <w:rsid w:val="003449C5"/>
    <w:rsid w:val="00356422"/>
    <w:rsid w:val="00362C7B"/>
    <w:rsid w:val="00362F8C"/>
    <w:rsid w:val="003742BC"/>
    <w:rsid w:val="00374867"/>
    <w:rsid w:val="00376135"/>
    <w:rsid w:val="0037623E"/>
    <w:rsid w:val="003B26E0"/>
    <w:rsid w:val="003B3C7C"/>
    <w:rsid w:val="003B481A"/>
    <w:rsid w:val="003B4AA2"/>
    <w:rsid w:val="003D0C86"/>
    <w:rsid w:val="003D41A4"/>
    <w:rsid w:val="003D5B26"/>
    <w:rsid w:val="003E2FED"/>
    <w:rsid w:val="0040662D"/>
    <w:rsid w:val="00413480"/>
    <w:rsid w:val="00414611"/>
    <w:rsid w:val="00424AE8"/>
    <w:rsid w:val="00426EBC"/>
    <w:rsid w:val="00436CB8"/>
    <w:rsid w:val="004400BD"/>
    <w:rsid w:val="004507AB"/>
    <w:rsid w:val="00452F7D"/>
    <w:rsid w:val="00460774"/>
    <w:rsid w:val="00464B89"/>
    <w:rsid w:val="004668D8"/>
    <w:rsid w:val="0047481C"/>
    <w:rsid w:val="00477854"/>
    <w:rsid w:val="00481805"/>
    <w:rsid w:val="004846C3"/>
    <w:rsid w:val="0048652F"/>
    <w:rsid w:val="00486951"/>
    <w:rsid w:val="004924D9"/>
    <w:rsid w:val="004A08B7"/>
    <w:rsid w:val="004A7B68"/>
    <w:rsid w:val="004B0CAF"/>
    <w:rsid w:val="004B445F"/>
    <w:rsid w:val="004B7AD4"/>
    <w:rsid w:val="004C01CC"/>
    <w:rsid w:val="004D0143"/>
    <w:rsid w:val="004D0EB8"/>
    <w:rsid w:val="004D274A"/>
    <w:rsid w:val="004F7CA5"/>
    <w:rsid w:val="0050278A"/>
    <w:rsid w:val="005061DE"/>
    <w:rsid w:val="0051308D"/>
    <w:rsid w:val="0051467B"/>
    <w:rsid w:val="005170D7"/>
    <w:rsid w:val="00526857"/>
    <w:rsid w:val="00534034"/>
    <w:rsid w:val="00543BF1"/>
    <w:rsid w:val="00563D99"/>
    <w:rsid w:val="005740DA"/>
    <w:rsid w:val="00575127"/>
    <w:rsid w:val="00586DA0"/>
    <w:rsid w:val="00592ABB"/>
    <w:rsid w:val="00596CAF"/>
    <w:rsid w:val="00596D22"/>
    <w:rsid w:val="005A34F2"/>
    <w:rsid w:val="005B3413"/>
    <w:rsid w:val="005C0F8C"/>
    <w:rsid w:val="005C11ED"/>
    <w:rsid w:val="005C2960"/>
    <w:rsid w:val="005C60C4"/>
    <w:rsid w:val="005D1B38"/>
    <w:rsid w:val="005E1B11"/>
    <w:rsid w:val="005F42B4"/>
    <w:rsid w:val="005F6041"/>
    <w:rsid w:val="00603CA6"/>
    <w:rsid w:val="00635DBF"/>
    <w:rsid w:val="00637964"/>
    <w:rsid w:val="00656DC3"/>
    <w:rsid w:val="0066064D"/>
    <w:rsid w:val="00663799"/>
    <w:rsid w:val="00672B51"/>
    <w:rsid w:val="006921BF"/>
    <w:rsid w:val="006B5BCF"/>
    <w:rsid w:val="006C7139"/>
    <w:rsid w:val="006E60C5"/>
    <w:rsid w:val="00712371"/>
    <w:rsid w:val="0072176A"/>
    <w:rsid w:val="00741977"/>
    <w:rsid w:val="00744780"/>
    <w:rsid w:val="007512D0"/>
    <w:rsid w:val="007530CC"/>
    <w:rsid w:val="00754FD3"/>
    <w:rsid w:val="00757845"/>
    <w:rsid w:val="007653B4"/>
    <w:rsid w:val="0077327D"/>
    <w:rsid w:val="00773613"/>
    <w:rsid w:val="00775D41"/>
    <w:rsid w:val="00776D8E"/>
    <w:rsid w:val="0078620C"/>
    <w:rsid w:val="0079137B"/>
    <w:rsid w:val="00791C4C"/>
    <w:rsid w:val="00792040"/>
    <w:rsid w:val="007A7B3E"/>
    <w:rsid w:val="007B634C"/>
    <w:rsid w:val="007B76A4"/>
    <w:rsid w:val="007C6112"/>
    <w:rsid w:val="007C64C4"/>
    <w:rsid w:val="007D5C08"/>
    <w:rsid w:val="007E008A"/>
    <w:rsid w:val="008012EB"/>
    <w:rsid w:val="0080681E"/>
    <w:rsid w:val="00810A3F"/>
    <w:rsid w:val="0081369B"/>
    <w:rsid w:val="00816B21"/>
    <w:rsid w:val="0082008E"/>
    <w:rsid w:val="0083123B"/>
    <w:rsid w:val="008428D2"/>
    <w:rsid w:val="00843E28"/>
    <w:rsid w:val="00845DFC"/>
    <w:rsid w:val="00851675"/>
    <w:rsid w:val="0085688B"/>
    <w:rsid w:val="00856FCB"/>
    <w:rsid w:val="008827A3"/>
    <w:rsid w:val="00893037"/>
    <w:rsid w:val="008956FE"/>
    <w:rsid w:val="00896F83"/>
    <w:rsid w:val="008A5413"/>
    <w:rsid w:val="008B0863"/>
    <w:rsid w:val="008D4C20"/>
    <w:rsid w:val="008D6EFD"/>
    <w:rsid w:val="008E352E"/>
    <w:rsid w:val="008F46E0"/>
    <w:rsid w:val="008F569D"/>
    <w:rsid w:val="008F6789"/>
    <w:rsid w:val="00922E31"/>
    <w:rsid w:val="009260AB"/>
    <w:rsid w:val="00930CBC"/>
    <w:rsid w:val="00934DFF"/>
    <w:rsid w:val="00942393"/>
    <w:rsid w:val="0094346E"/>
    <w:rsid w:val="00947FF4"/>
    <w:rsid w:val="00952EDB"/>
    <w:rsid w:val="00956E3F"/>
    <w:rsid w:val="009658B2"/>
    <w:rsid w:val="00983423"/>
    <w:rsid w:val="00984BDE"/>
    <w:rsid w:val="00992A9E"/>
    <w:rsid w:val="009A238E"/>
    <w:rsid w:val="009B0290"/>
    <w:rsid w:val="009B33EE"/>
    <w:rsid w:val="009E4ED6"/>
    <w:rsid w:val="009F40B6"/>
    <w:rsid w:val="009F5218"/>
    <w:rsid w:val="00A00310"/>
    <w:rsid w:val="00A20448"/>
    <w:rsid w:val="00A2075E"/>
    <w:rsid w:val="00A31B8E"/>
    <w:rsid w:val="00A324BA"/>
    <w:rsid w:val="00A442B1"/>
    <w:rsid w:val="00A5078A"/>
    <w:rsid w:val="00A5162A"/>
    <w:rsid w:val="00A54016"/>
    <w:rsid w:val="00A543B6"/>
    <w:rsid w:val="00A83B8D"/>
    <w:rsid w:val="00A9264A"/>
    <w:rsid w:val="00A92838"/>
    <w:rsid w:val="00A967AB"/>
    <w:rsid w:val="00AA02E8"/>
    <w:rsid w:val="00AA7C59"/>
    <w:rsid w:val="00AB24FF"/>
    <w:rsid w:val="00AB3EAB"/>
    <w:rsid w:val="00AD637D"/>
    <w:rsid w:val="00AE7058"/>
    <w:rsid w:val="00AF1FF0"/>
    <w:rsid w:val="00AF7ADC"/>
    <w:rsid w:val="00B01230"/>
    <w:rsid w:val="00B0217D"/>
    <w:rsid w:val="00B030C7"/>
    <w:rsid w:val="00B16C5D"/>
    <w:rsid w:val="00B178A8"/>
    <w:rsid w:val="00B213E9"/>
    <w:rsid w:val="00B23178"/>
    <w:rsid w:val="00B32D39"/>
    <w:rsid w:val="00B51134"/>
    <w:rsid w:val="00B568E9"/>
    <w:rsid w:val="00B60533"/>
    <w:rsid w:val="00B66B62"/>
    <w:rsid w:val="00B702E6"/>
    <w:rsid w:val="00B70775"/>
    <w:rsid w:val="00B72317"/>
    <w:rsid w:val="00B749FB"/>
    <w:rsid w:val="00B84DE8"/>
    <w:rsid w:val="00B94207"/>
    <w:rsid w:val="00B95B7B"/>
    <w:rsid w:val="00BA7F5D"/>
    <w:rsid w:val="00BB0B58"/>
    <w:rsid w:val="00BB0BF1"/>
    <w:rsid w:val="00BB15CF"/>
    <w:rsid w:val="00BC25ED"/>
    <w:rsid w:val="00BC7A42"/>
    <w:rsid w:val="00BF0CD2"/>
    <w:rsid w:val="00BF3117"/>
    <w:rsid w:val="00C12172"/>
    <w:rsid w:val="00C159D7"/>
    <w:rsid w:val="00C20810"/>
    <w:rsid w:val="00C242F9"/>
    <w:rsid w:val="00C33CED"/>
    <w:rsid w:val="00C41E02"/>
    <w:rsid w:val="00C64A2A"/>
    <w:rsid w:val="00C66D36"/>
    <w:rsid w:val="00C72896"/>
    <w:rsid w:val="00C75198"/>
    <w:rsid w:val="00C918FD"/>
    <w:rsid w:val="00C948AE"/>
    <w:rsid w:val="00CA0D14"/>
    <w:rsid w:val="00CA438B"/>
    <w:rsid w:val="00CC51E6"/>
    <w:rsid w:val="00CC65D7"/>
    <w:rsid w:val="00CC7AC3"/>
    <w:rsid w:val="00CE135A"/>
    <w:rsid w:val="00CF3F3D"/>
    <w:rsid w:val="00D06ED8"/>
    <w:rsid w:val="00D227C2"/>
    <w:rsid w:val="00D23DDC"/>
    <w:rsid w:val="00D266DD"/>
    <w:rsid w:val="00D4525E"/>
    <w:rsid w:val="00D91AAC"/>
    <w:rsid w:val="00DB7789"/>
    <w:rsid w:val="00DC524F"/>
    <w:rsid w:val="00DE6437"/>
    <w:rsid w:val="00DE75A7"/>
    <w:rsid w:val="00E04999"/>
    <w:rsid w:val="00E16E35"/>
    <w:rsid w:val="00E20774"/>
    <w:rsid w:val="00E27621"/>
    <w:rsid w:val="00E317F9"/>
    <w:rsid w:val="00E31E83"/>
    <w:rsid w:val="00E329F3"/>
    <w:rsid w:val="00E3738F"/>
    <w:rsid w:val="00E425B1"/>
    <w:rsid w:val="00E53EFB"/>
    <w:rsid w:val="00E62A21"/>
    <w:rsid w:val="00E65116"/>
    <w:rsid w:val="00E67400"/>
    <w:rsid w:val="00E74235"/>
    <w:rsid w:val="00E84E19"/>
    <w:rsid w:val="00E9453D"/>
    <w:rsid w:val="00EA0CD3"/>
    <w:rsid w:val="00EC22A9"/>
    <w:rsid w:val="00ED0515"/>
    <w:rsid w:val="00ED1705"/>
    <w:rsid w:val="00ED2DB1"/>
    <w:rsid w:val="00ED5E88"/>
    <w:rsid w:val="00ED742A"/>
    <w:rsid w:val="00EE0E12"/>
    <w:rsid w:val="00EE4240"/>
    <w:rsid w:val="00EF6970"/>
    <w:rsid w:val="00F047C1"/>
    <w:rsid w:val="00F07A67"/>
    <w:rsid w:val="00F1445F"/>
    <w:rsid w:val="00F221FE"/>
    <w:rsid w:val="00F23F31"/>
    <w:rsid w:val="00F34379"/>
    <w:rsid w:val="00F45D7C"/>
    <w:rsid w:val="00F762CF"/>
    <w:rsid w:val="00FA5424"/>
    <w:rsid w:val="00FD16FF"/>
    <w:rsid w:val="00FE3197"/>
    <w:rsid w:val="00FF0950"/>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7BA07FA-3D91-4D32-8606-62486B22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9FB"/>
    <w:pPr>
      <w:jc w:val="both"/>
    </w:pPr>
    <w:rPr>
      <w:sz w:val="24"/>
      <w:szCs w:val="24"/>
      <w:lang w:eastAsia="pt-PT"/>
    </w:rPr>
  </w:style>
  <w:style w:type="paragraph" w:styleId="berschrift1">
    <w:name w:val="heading 1"/>
    <w:basedOn w:val="Standard"/>
    <w:next w:val="Standard"/>
    <w:link w:val="berschrift1Zchn"/>
    <w:uiPriority w:val="9"/>
    <w:qFormat/>
    <w:rsid w:val="00B723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CA0D14"/>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2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Textkrper"/>
    <w:rsid w:val="00B749FB"/>
    <w:pPr>
      <w:spacing w:after="0"/>
      <w:jc w:val="center"/>
    </w:pPr>
    <w:rPr>
      <w:sz w:val="50"/>
      <w:szCs w:val="20"/>
      <w:lang w:eastAsia="fr-FR"/>
    </w:rPr>
  </w:style>
  <w:style w:type="paragraph" w:customStyle="1" w:styleId="Author">
    <w:name w:val="Author"/>
    <w:basedOn w:val="Standard"/>
    <w:rsid w:val="0051308D"/>
    <w:pPr>
      <w:jc w:val="center"/>
    </w:pPr>
    <w:rPr>
      <w:szCs w:val="20"/>
      <w:lang w:eastAsia="en-US"/>
    </w:rPr>
  </w:style>
  <w:style w:type="paragraph" w:customStyle="1" w:styleId="Affiliation">
    <w:name w:val="Affiliation"/>
    <w:basedOn w:val="Standard"/>
    <w:rsid w:val="0051308D"/>
    <w:pPr>
      <w:jc w:val="center"/>
    </w:pPr>
    <w:rPr>
      <w:i/>
      <w:szCs w:val="20"/>
      <w:lang w:eastAsia="en-US"/>
    </w:rPr>
  </w:style>
  <w:style w:type="paragraph" w:styleId="Textkrper">
    <w:name w:val="Body Text"/>
    <w:basedOn w:val="Standard"/>
    <w:rsid w:val="0051308D"/>
    <w:pPr>
      <w:spacing w:after="120"/>
    </w:pPr>
  </w:style>
  <w:style w:type="paragraph" w:styleId="Sprechblasentext">
    <w:name w:val="Balloon Text"/>
    <w:basedOn w:val="Standard"/>
    <w:semiHidden/>
    <w:rsid w:val="0051308D"/>
    <w:rPr>
      <w:rFonts w:ascii="Tahoma" w:hAnsi="Tahoma" w:cs="Tahoma"/>
      <w:sz w:val="16"/>
      <w:szCs w:val="16"/>
    </w:rPr>
  </w:style>
  <w:style w:type="paragraph" w:customStyle="1" w:styleId="abstract">
    <w:name w:val="abstract"/>
    <w:basedOn w:val="Textkrper-Einzug2"/>
    <w:rsid w:val="00E329F3"/>
    <w:pPr>
      <w:spacing w:line="200" w:lineRule="exact"/>
      <w:ind w:left="0" w:firstLine="288"/>
    </w:pPr>
    <w:rPr>
      <w:b/>
      <w:sz w:val="18"/>
      <w:szCs w:val="20"/>
      <w:lang w:eastAsia="fr-FR"/>
    </w:rPr>
  </w:style>
  <w:style w:type="paragraph" w:customStyle="1" w:styleId="sectionhead1">
    <w:name w:val="section head (1)"/>
    <w:basedOn w:val="Standard"/>
    <w:rsid w:val="00E329F3"/>
    <w:pPr>
      <w:numPr>
        <w:numId w:val="1"/>
      </w:numPr>
      <w:spacing w:before="120" w:after="120" w:line="216" w:lineRule="auto"/>
      <w:jc w:val="center"/>
    </w:pPr>
    <w:rPr>
      <w:smallCaps/>
      <w:sz w:val="20"/>
      <w:szCs w:val="20"/>
      <w:lang w:eastAsia="fr-FR"/>
    </w:rPr>
  </w:style>
  <w:style w:type="paragraph" w:styleId="Textkrper-Einzug2">
    <w:name w:val="Body Text Indent 2"/>
    <w:basedOn w:val="Standard"/>
    <w:rsid w:val="00E329F3"/>
    <w:pPr>
      <w:spacing w:after="120" w:line="480" w:lineRule="auto"/>
      <w:ind w:left="283"/>
    </w:pPr>
  </w:style>
  <w:style w:type="paragraph" w:customStyle="1" w:styleId="Head2">
    <w:name w:val="Head 2"/>
    <w:basedOn w:val="berschrift2"/>
    <w:rsid w:val="00CA0D14"/>
    <w:pPr>
      <w:numPr>
        <w:numId w:val="5"/>
      </w:numPr>
      <w:spacing w:before="120" w:after="0"/>
    </w:pPr>
    <w:rPr>
      <w:rFonts w:ascii="Times New Roman" w:hAnsi="Times New Roman" w:cs="Times New Roman"/>
      <w:b w:val="0"/>
      <w:bCs w:val="0"/>
      <w:iCs w:val="0"/>
      <w:spacing w:val="-8"/>
      <w:sz w:val="20"/>
      <w:szCs w:val="20"/>
      <w:lang w:eastAsia="fr-FR"/>
    </w:rPr>
  </w:style>
  <w:style w:type="paragraph" w:customStyle="1" w:styleId="references">
    <w:name w:val="references"/>
    <w:basedOn w:val="Standard"/>
    <w:rsid w:val="00413480"/>
    <w:pPr>
      <w:spacing w:line="180" w:lineRule="exact"/>
      <w:ind w:left="360" w:hanging="360"/>
    </w:pPr>
    <w:rPr>
      <w:sz w:val="16"/>
      <w:szCs w:val="20"/>
      <w:lang w:eastAsia="fr-FR"/>
    </w:rPr>
  </w:style>
  <w:style w:type="character" w:styleId="Hyperlink">
    <w:name w:val="Hyperlink"/>
    <w:rsid w:val="00ED742A"/>
    <w:rPr>
      <w:color w:val="0000FF"/>
      <w:u w:val="single"/>
    </w:rPr>
  </w:style>
  <w:style w:type="paragraph" w:customStyle="1" w:styleId="text">
    <w:name w:val="text"/>
    <w:basedOn w:val="Standard"/>
    <w:rsid w:val="00EC22A9"/>
    <w:pPr>
      <w:spacing w:line="240" w:lineRule="atLeast"/>
      <w:ind w:firstLine="187"/>
    </w:pPr>
    <w:rPr>
      <w:sz w:val="20"/>
      <w:szCs w:val="20"/>
      <w:lang w:eastAsia="fr-FR"/>
    </w:rPr>
  </w:style>
  <w:style w:type="paragraph" w:customStyle="1" w:styleId="Default">
    <w:name w:val="Default"/>
    <w:rsid w:val="00A543B6"/>
    <w:pPr>
      <w:autoSpaceDE w:val="0"/>
      <w:autoSpaceDN w:val="0"/>
      <w:adjustRightInd w:val="0"/>
    </w:pPr>
    <w:rPr>
      <w:rFonts w:ascii="Arial" w:hAnsi="Arial" w:cs="Arial"/>
      <w:color w:val="000000"/>
      <w:sz w:val="24"/>
      <w:szCs w:val="24"/>
      <w:lang w:val="pt-PT" w:eastAsia="pt-PT"/>
    </w:rPr>
  </w:style>
  <w:style w:type="paragraph" w:customStyle="1" w:styleId="NormalAbstract">
    <w:name w:val="Normal Abstract"/>
    <w:basedOn w:val="Standard"/>
    <w:rsid w:val="004D0143"/>
    <w:pPr>
      <w:autoSpaceDE w:val="0"/>
      <w:autoSpaceDN w:val="0"/>
      <w:adjustRightInd w:val="0"/>
    </w:pPr>
    <w:rPr>
      <w:lang w:val="en-GB" w:eastAsia="es-ES"/>
    </w:rPr>
  </w:style>
  <w:style w:type="character" w:styleId="Kommentarzeichen">
    <w:name w:val="annotation reference"/>
    <w:basedOn w:val="Absatz-Standardschriftart"/>
    <w:uiPriority w:val="99"/>
    <w:semiHidden/>
    <w:unhideWhenUsed/>
    <w:rsid w:val="00CA438B"/>
    <w:rPr>
      <w:sz w:val="16"/>
      <w:szCs w:val="16"/>
    </w:rPr>
  </w:style>
  <w:style w:type="paragraph" w:styleId="Kommentartext">
    <w:name w:val="annotation text"/>
    <w:basedOn w:val="Standard"/>
    <w:link w:val="KommentartextZchn"/>
    <w:uiPriority w:val="99"/>
    <w:semiHidden/>
    <w:unhideWhenUsed/>
    <w:rsid w:val="00CA438B"/>
    <w:rPr>
      <w:sz w:val="20"/>
      <w:szCs w:val="20"/>
    </w:rPr>
  </w:style>
  <w:style w:type="character" w:customStyle="1" w:styleId="KommentartextZchn">
    <w:name w:val="Kommentartext Zchn"/>
    <w:basedOn w:val="Absatz-Standardschriftart"/>
    <w:link w:val="Kommentartext"/>
    <w:uiPriority w:val="99"/>
    <w:semiHidden/>
    <w:rsid w:val="00CA438B"/>
    <w:rPr>
      <w:lang w:val="pt-PT" w:eastAsia="pt-PT"/>
    </w:rPr>
  </w:style>
  <w:style w:type="paragraph" w:styleId="Kommentarthema">
    <w:name w:val="annotation subject"/>
    <w:basedOn w:val="Kommentartext"/>
    <w:next w:val="Kommentartext"/>
    <w:link w:val="KommentarthemaZchn"/>
    <w:uiPriority w:val="99"/>
    <w:semiHidden/>
    <w:unhideWhenUsed/>
    <w:rsid w:val="00CA438B"/>
    <w:rPr>
      <w:b/>
      <w:bCs/>
    </w:rPr>
  </w:style>
  <w:style w:type="character" w:customStyle="1" w:styleId="KommentarthemaZchn">
    <w:name w:val="Kommentarthema Zchn"/>
    <w:basedOn w:val="KommentartextZchn"/>
    <w:link w:val="Kommentarthema"/>
    <w:uiPriority w:val="99"/>
    <w:semiHidden/>
    <w:rsid w:val="00CA438B"/>
    <w:rPr>
      <w:b/>
      <w:bCs/>
      <w:lang w:val="pt-PT" w:eastAsia="pt-PT"/>
    </w:rPr>
  </w:style>
  <w:style w:type="paragraph" w:styleId="Kopfzeile">
    <w:name w:val="header"/>
    <w:basedOn w:val="Standard"/>
    <w:link w:val="KopfzeileZchn"/>
    <w:uiPriority w:val="99"/>
    <w:unhideWhenUsed/>
    <w:rsid w:val="00896F83"/>
    <w:pPr>
      <w:tabs>
        <w:tab w:val="center" w:pos="4536"/>
        <w:tab w:val="right" w:pos="9072"/>
      </w:tabs>
    </w:pPr>
  </w:style>
  <w:style w:type="character" w:customStyle="1" w:styleId="KopfzeileZchn">
    <w:name w:val="Kopfzeile Zchn"/>
    <w:basedOn w:val="Absatz-Standardschriftart"/>
    <w:link w:val="Kopfzeile"/>
    <w:uiPriority w:val="99"/>
    <w:rsid w:val="00896F83"/>
    <w:rPr>
      <w:sz w:val="24"/>
      <w:szCs w:val="24"/>
      <w:lang w:eastAsia="pt-PT"/>
    </w:rPr>
  </w:style>
  <w:style w:type="paragraph" w:styleId="Fuzeile">
    <w:name w:val="footer"/>
    <w:basedOn w:val="Standard"/>
    <w:link w:val="FuzeileZchn"/>
    <w:uiPriority w:val="99"/>
    <w:unhideWhenUsed/>
    <w:rsid w:val="00896F83"/>
    <w:pPr>
      <w:tabs>
        <w:tab w:val="center" w:pos="4536"/>
        <w:tab w:val="right" w:pos="9072"/>
      </w:tabs>
    </w:pPr>
  </w:style>
  <w:style w:type="character" w:customStyle="1" w:styleId="FuzeileZchn">
    <w:name w:val="Fußzeile Zchn"/>
    <w:basedOn w:val="Absatz-Standardschriftart"/>
    <w:link w:val="Fuzeile"/>
    <w:uiPriority w:val="99"/>
    <w:rsid w:val="00896F83"/>
    <w:rPr>
      <w:sz w:val="24"/>
      <w:szCs w:val="24"/>
      <w:lang w:eastAsia="pt-PT"/>
    </w:rPr>
  </w:style>
  <w:style w:type="paragraph" w:styleId="Listenabsatz">
    <w:name w:val="List Paragraph"/>
    <w:basedOn w:val="Standard"/>
    <w:uiPriority w:val="34"/>
    <w:qFormat/>
    <w:rsid w:val="00334CC2"/>
    <w:pPr>
      <w:ind w:left="720"/>
      <w:contextualSpacing/>
    </w:pPr>
  </w:style>
  <w:style w:type="character" w:customStyle="1" w:styleId="berschrift1Zchn">
    <w:name w:val="Überschrift 1 Zchn"/>
    <w:basedOn w:val="Absatz-Standardschriftart"/>
    <w:link w:val="berschrift1"/>
    <w:uiPriority w:val="9"/>
    <w:rsid w:val="00B72317"/>
    <w:rPr>
      <w:rFonts w:asciiTheme="majorHAnsi" w:eastAsiaTheme="majorEastAsia" w:hAnsiTheme="majorHAnsi" w:cstheme="majorBidi"/>
      <w:color w:val="365F91" w:themeColor="accent1" w:themeShade="BF"/>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5116">
      <w:bodyDiv w:val="1"/>
      <w:marLeft w:val="0"/>
      <w:marRight w:val="0"/>
      <w:marTop w:val="0"/>
      <w:marBottom w:val="0"/>
      <w:divBdr>
        <w:top w:val="none" w:sz="0" w:space="0" w:color="auto"/>
        <w:left w:val="none" w:sz="0" w:space="0" w:color="auto"/>
        <w:bottom w:val="none" w:sz="0" w:space="0" w:color="auto"/>
        <w:right w:val="none" w:sz="0" w:space="0" w:color="auto"/>
      </w:divBdr>
    </w:div>
    <w:div w:id="581841480">
      <w:bodyDiv w:val="1"/>
      <w:marLeft w:val="0"/>
      <w:marRight w:val="0"/>
      <w:marTop w:val="0"/>
      <w:marBottom w:val="0"/>
      <w:divBdr>
        <w:top w:val="none" w:sz="0" w:space="0" w:color="auto"/>
        <w:left w:val="none" w:sz="0" w:space="0" w:color="auto"/>
        <w:bottom w:val="none" w:sz="0" w:space="0" w:color="auto"/>
        <w:right w:val="none" w:sz="0" w:space="0" w:color="auto"/>
      </w:divBdr>
      <w:divsChild>
        <w:div w:id="1326664530">
          <w:marLeft w:val="0"/>
          <w:marRight w:val="0"/>
          <w:marTop w:val="0"/>
          <w:marBottom w:val="0"/>
          <w:divBdr>
            <w:top w:val="none" w:sz="0" w:space="0" w:color="auto"/>
            <w:left w:val="none" w:sz="0" w:space="0" w:color="auto"/>
            <w:bottom w:val="none" w:sz="0" w:space="0" w:color="auto"/>
            <w:right w:val="none" w:sz="0" w:space="0" w:color="auto"/>
          </w:divBdr>
        </w:div>
        <w:div w:id="440298454">
          <w:marLeft w:val="0"/>
          <w:marRight w:val="0"/>
          <w:marTop w:val="0"/>
          <w:marBottom w:val="0"/>
          <w:divBdr>
            <w:top w:val="none" w:sz="0" w:space="0" w:color="auto"/>
            <w:left w:val="none" w:sz="0" w:space="0" w:color="auto"/>
            <w:bottom w:val="none" w:sz="0" w:space="0" w:color="auto"/>
            <w:right w:val="none" w:sz="0" w:space="0" w:color="auto"/>
          </w:divBdr>
        </w:div>
      </w:divsChild>
    </w:div>
    <w:div w:id="697976313">
      <w:bodyDiv w:val="1"/>
      <w:marLeft w:val="0"/>
      <w:marRight w:val="0"/>
      <w:marTop w:val="0"/>
      <w:marBottom w:val="0"/>
      <w:divBdr>
        <w:top w:val="none" w:sz="0" w:space="0" w:color="auto"/>
        <w:left w:val="none" w:sz="0" w:space="0" w:color="auto"/>
        <w:bottom w:val="none" w:sz="0" w:space="0" w:color="auto"/>
        <w:right w:val="none" w:sz="0" w:space="0" w:color="auto"/>
      </w:divBdr>
      <w:divsChild>
        <w:div w:id="1977684397">
          <w:marLeft w:val="0"/>
          <w:marRight w:val="0"/>
          <w:marTop w:val="0"/>
          <w:marBottom w:val="0"/>
          <w:divBdr>
            <w:top w:val="none" w:sz="0" w:space="0" w:color="auto"/>
            <w:left w:val="none" w:sz="0" w:space="0" w:color="auto"/>
            <w:bottom w:val="none" w:sz="0" w:space="0" w:color="auto"/>
            <w:right w:val="none" w:sz="0" w:space="0" w:color="auto"/>
          </w:divBdr>
        </w:div>
      </w:divsChild>
    </w:div>
    <w:div w:id="1326280464">
      <w:bodyDiv w:val="1"/>
      <w:marLeft w:val="0"/>
      <w:marRight w:val="0"/>
      <w:marTop w:val="0"/>
      <w:marBottom w:val="0"/>
      <w:divBdr>
        <w:top w:val="none" w:sz="0" w:space="0" w:color="auto"/>
        <w:left w:val="none" w:sz="0" w:space="0" w:color="auto"/>
        <w:bottom w:val="none" w:sz="0" w:space="0" w:color="auto"/>
        <w:right w:val="none" w:sz="0" w:space="0" w:color="auto"/>
      </w:divBdr>
      <w:divsChild>
        <w:div w:id="46847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3493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Abstract template</vt:lpstr>
      <vt:lpstr>Balancing Power Generation and Demand Issues</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Linda Schwabe</dc:creator>
  <cp:lastModifiedBy>Steffi Schreiber</cp:lastModifiedBy>
  <cp:revision>14</cp:revision>
  <cp:lastPrinted>2015-08-31T08:50:00Z</cp:lastPrinted>
  <dcterms:created xsi:type="dcterms:W3CDTF">2021-03-01T14:43:00Z</dcterms:created>
  <dcterms:modified xsi:type="dcterms:W3CDTF">2021-04-16T09:13:00Z</dcterms:modified>
</cp:coreProperties>
</file>