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917F5" w14:textId="329CADB1" w:rsidR="00DC69F1" w:rsidRPr="00A72198" w:rsidRDefault="00A72198" w:rsidP="00DE39DF">
      <w:pPr>
        <w:framePr w:w="10800" w:h="1914" w:hRule="exact" w:hSpace="187" w:wrap="auto" w:vAnchor="page" w:hAnchor="page" w:x="678" w:y="1061"/>
        <w:jc w:val="center"/>
        <w:rPr>
          <w:b/>
          <w:i/>
          <w:sz w:val="28"/>
          <w:szCs w:val="28"/>
        </w:rPr>
      </w:pPr>
      <w:r w:rsidRPr="00A72198">
        <w:rPr>
          <w:b/>
          <w:i/>
          <w:sz w:val="28"/>
          <w:szCs w:val="28"/>
        </w:rPr>
        <w:t xml:space="preserve">       </w:t>
      </w:r>
      <w:r w:rsidRPr="00A72198">
        <w:rPr>
          <w:b/>
          <w:i/>
          <w:sz w:val="28"/>
          <w:szCs w:val="28"/>
        </w:rPr>
        <w:tab/>
      </w:r>
      <w:r w:rsidRPr="00A72198">
        <w:rPr>
          <w:b/>
          <w:i/>
          <w:sz w:val="28"/>
          <w:szCs w:val="28"/>
        </w:rPr>
        <w:tab/>
      </w:r>
      <w:r w:rsidRPr="00A72198">
        <w:rPr>
          <w:b/>
          <w:i/>
          <w:sz w:val="28"/>
          <w:szCs w:val="28"/>
        </w:rPr>
        <w:tab/>
      </w:r>
      <w:r w:rsidRPr="00A72198">
        <w:rPr>
          <w:b/>
          <w:i/>
          <w:sz w:val="28"/>
          <w:szCs w:val="28"/>
        </w:rPr>
        <w:tab/>
      </w:r>
      <w:r w:rsidRPr="00A72198">
        <w:rPr>
          <w:b/>
          <w:i/>
          <w:sz w:val="28"/>
          <w:szCs w:val="28"/>
        </w:rPr>
        <w:tab/>
      </w:r>
      <w:r w:rsidRPr="00A72198">
        <w:rPr>
          <w:b/>
          <w:i/>
          <w:sz w:val="28"/>
          <w:szCs w:val="28"/>
        </w:rPr>
        <w:tab/>
      </w:r>
      <w:r w:rsidRPr="00A72198">
        <w:rPr>
          <w:b/>
          <w:i/>
          <w:sz w:val="28"/>
          <w:szCs w:val="28"/>
        </w:rPr>
        <w:tab/>
      </w:r>
      <w:r w:rsidRPr="00A72198">
        <w:rPr>
          <w:b/>
          <w:i/>
          <w:sz w:val="28"/>
          <w:szCs w:val="28"/>
        </w:rPr>
        <w:tab/>
      </w:r>
      <w:r w:rsidRPr="00A72198">
        <w:rPr>
          <w:b/>
          <w:i/>
          <w:sz w:val="28"/>
          <w:szCs w:val="28"/>
        </w:rPr>
        <w:tab/>
        <w:t xml:space="preserve">                                                 </w:t>
      </w:r>
      <w:r w:rsidRPr="00A72198">
        <w:rPr>
          <w:b/>
          <w:i/>
          <w:sz w:val="28"/>
          <w:szCs w:val="28"/>
        </w:rPr>
        <w:tab/>
      </w:r>
    </w:p>
    <w:p w14:paraId="5B249523" w14:textId="2301522A" w:rsidR="00805571" w:rsidRPr="00A72198" w:rsidRDefault="00A72198" w:rsidP="00A72198">
      <w:pPr>
        <w:framePr w:w="10800" w:h="1914" w:hRule="exact" w:hSpace="187" w:wrap="auto" w:vAnchor="page" w:hAnchor="page" w:x="678" w:y="1061"/>
        <w:spacing w:line="440" w:lineRule="exact"/>
        <w:rPr>
          <w:b/>
          <w:sz w:val="28"/>
          <w:szCs w:val="28"/>
          <w:lang w:val="en-US"/>
        </w:rPr>
      </w:pPr>
      <w:bookmarkStart w:id="0" w:name="_Hlk61902052"/>
      <w:bookmarkEnd w:id="0"/>
      <w:r w:rsidRPr="00A72198">
        <w:rPr>
          <w:b/>
          <w:i/>
          <w:sz w:val="28"/>
          <w:szCs w:val="28"/>
        </w:rPr>
        <w:t>THE ECONOMICS OF EXPLICIT DEMAND-SIDE FLEXIBILITY IN DISTRIBUTION GRIDS</w:t>
      </w:r>
    </w:p>
    <w:p w14:paraId="7B84DE3E" w14:textId="54DFD523" w:rsidR="00E034D7" w:rsidRDefault="00E034D7" w:rsidP="00DE39DF">
      <w:pPr>
        <w:pStyle w:val="BodyText"/>
        <w:framePr w:w="10800" w:h="1914" w:hRule="exact" w:hSpace="187" w:wrap="auto" w:vAnchor="page" w:hAnchor="page" w:x="678" w:y="1061"/>
        <w:jc w:val="right"/>
        <w:rPr>
          <w:sz w:val="20"/>
        </w:rPr>
      </w:pPr>
      <w:r w:rsidRPr="00316750">
        <w:rPr>
          <w:sz w:val="20"/>
        </w:rPr>
        <w:t>Athir Nouicer</w:t>
      </w:r>
      <w:r>
        <w:rPr>
          <w:sz w:val="20"/>
        </w:rPr>
        <w:t xml:space="preserve">, Florence School of Regulation/ </w:t>
      </w:r>
      <w:r w:rsidRPr="00316750">
        <w:rPr>
          <w:sz w:val="20"/>
        </w:rPr>
        <w:t>KU Leuven</w:t>
      </w:r>
      <w:r>
        <w:rPr>
          <w:sz w:val="20"/>
        </w:rPr>
        <w:t xml:space="preserve"> </w:t>
      </w:r>
      <w:r w:rsidRPr="00316750">
        <w:rPr>
          <w:sz w:val="20"/>
        </w:rPr>
        <w:t>University</w:t>
      </w:r>
      <w:r w:rsidRPr="00D767DA">
        <w:rPr>
          <w:sz w:val="20"/>
        </w:rPr>
        <w:t xml:space="preserve">, </w:t>
      </w:r>
      <w:r>
        <w:rPr>
          <w:sz w:val="20"/>
        </w:rPr>
        <w:t>+39 388 77 36 541</w:t>
      </w:r>
      <w:r w:rsidRPr="00316750">
        <w:rPr>
          <w:sz w:val="20"/>
        </w:rPr>
        <w:t xml:space="preserve">, </w:t>
      </w:r>
      <w:hyperlink r:id="rId8" w:history="1">
        <w:r w:rsidRPr="007026C2">
          <w:rPr>
            <w:rStyle w:val="Hyperlink"/>
            <w:sz w:val="20"/>
          </w:rPr>
          <w:t>Athir.Nouicer@EUI.eu</w:t>
        </w:r>
      </w:hyperlink>
    </w:p>
    <w:p w14:paraId="334EF67F" w14:textId="15F21ACC" w:rsidR="00E034D7" w:rsidRDefault="00E034D7" w:rsidP="00DE39DF">
      <w:pPr>
        <w:pStyle w:val="BodyText"/>
        <w:framePr w:w="10800" w:h="1914" w:hRule="exact" w:hSpace="187" w:wrap="auto" w:vAnchor="page" w:hAnchor="page" w:x="678" w:y="1061"/>
        <w:jc w:val="right"/>
        <w:rPr>
          <w:sz w:val="20"/>
        </w:rPr>
      </w:pPr>
      <w:r>
        <w:rPr>
          <w:sz w:val="20"/>
        </w:rPr>
        <w:t>Leonardo Meeus,</w:t>
      </w:r>
      <w:r w:rsidRPr="00A53DFB">
        <w:rPr>
          <w:sz w:val="20"/>
        </w:rPr>
        <w:t xml:space="preserve"> </w:t>
      </w:r>
      <w:proofErr w:type="spellStart"/>
      <w:r>
        <w:rPr>
          <w:sz w:val="20"/>
        </w:rPr>
        <w:t>Vlerick</w:t>
      </w:r>
      <w:proofErr w:type="spellEnd"/>
      <w:r>
        <w:rPr>
          <w:sz w:val="20"/>
        </w:rPr>
        <w:t xml:space="preserve"> Business School/Florence School of Regulation</w:t>
      </w:r>
      <w:r w:rsidRPr="00D767DA">
        <w:rPr>
          <w:sz w:val="20"/>
        </w:rPr>
        <w:t xml:space="preserve">, </w:t>
      </w:r>
      <w:r w:rsidRPr="00A53DFB">
        <w:rPr>
          <w:sz w:val="20"/>
        </w:rPr>
        <w:t>+ 32 2 225 41 29</w:t>
      </w:r>
      <w:r w:rsidRPr="006D2BBE">
        <w:rPr>
          <w:sz w:val="20"/>
        </w:rPr>
        <w:t>,</w:t>
      </w:r>
      <w:r w:rsidRPr="00D767DA">
        <w:rPr>
          <w:sz w:val="20"/>
        </w:rPr>
        <w:t xml:space="preserve"> </w:t>
      </w:r>
      <w:hyperlink r:id="rId9" w:history="1">
        <w:r w:rsidRPr="00755F90">
          <w:rPr>
            <w:rStyle w:val="Hyperlink"/>
            <w:sz w:val="20"/>
          </w:rPr>
          <w:t>Leonardo.Meeus@vlerick.com</w:t>
        </w:r>
      </w:hyperlink>
      <w:r>
        <w:rPr>
          <w:sz w:val="20"/>
        </w:rPr>
        <w:t xml:space="preserve">  </w:t>
      </w:r>
    </w:p>
    <w:p w14:paraId="4298151C" w14:textId="1218A6D8" w:rsidR="00805571" w:rsidRPr="00A72198" w:rsidRDefault="00805571" w:rsidP="00DE39DF">
      <w:pPr>
        <w:pStyle w:val="BodyText"/>
        <w:framePr w:w="10800" w:h="1914" w:hRule="exact" w:hSpace="187" w:wrap="auto" w:vAnchor="page" w:hAnchor="page" w:x="678" w:y="1061"/>
        <w:jc w:val="right"/>
        <w:rPr>
          <w:sz w:val="20"/>
          <w:lang w:val="nl-NL"/>
        </w:rPr>
      </w:pPr>
      <w:r w:rsidRPr="00A72198">
        <w:rPr>
          <w:sz w:val="20"/>
          <w:lang w:val="nl-NL"/>
        </w:rPr>
        <w:t>Erik Delarue, KU Leuven University, +32 16 32 25 21,</w:t>
      </w:r>
      <w:r w:rsidRPr="00A72198">
        <w:rPr>
          <w:lang w:val="nl-NL"/>
        </w:rPr>
        <w:t xml:space="preserve"> </w:t>
      </w:r>
      <w:hyperlink r:id="rId10" w:history="1">
        <w:r w:rsidRPr="00A72198">
          <w:rPr>
            <w:rStyle w:val="Hyperlink"/>
            <w:sz w:val="20"/>
            <w:lang w:val="nl-NL"/>
          </w:rPr>
          <w:t>erik.delarue@kuleuven.be</w:t>
        </w:r>
      </w:hyperlink>
    </w:p>
    <w:p w14:paraId="03FAB5DE" w14:textId="2C5B38A0" w:rsidR="00805571" w:rsidRPr="00A72198" w:rsidRDefault="00805571" w:rsidP="00DE39DF">
      <w:pPr>
        <w:pStyle w:val="BodyText"/>
        <w:framePr w:w="10800" w:h="1914" w:hRule="exact" w:hSpace="187" w:wrap="auto" w:vAnchor="page" w:hAnchor="page" w:x="678" w:y="1061"/>
        <w:jc w:val="right"/>
        <w:rPr>
          <w:sz w:val="20"/>
          <w:lang w:val="nl-NL"/>
        </w:rPr>
      </w:pPr>
      <w:r w:rsidRPr="00A72198">
        <w:rPr>
          <w:sz w:val="20"/>
          <w:lang w:val="nl-NL"/>
        </w:rPr>
        <w:t xml:space="preserve"> </w:t>
      </w:r>
    </w:p>
    <w:p w14:paraId="293BA07E" w14:textId="77777777" w:rsidR="00316750" w:rsidRPr="00A72198" w:rsidRDefault="00316750" w:rsidP="00DE39DF">
      <w:pPr>
        <w:pStyle w:val="BodyText"/>
        <w:framePr w:w="10800" w:h="1914" w:hRule="exact" w:hSpace="187" w:wrap="auto" w:vAnchor="page" w:hAnchor="page" w:x="678" w:y="1061"/>
        <w:jc w:val="right"/>
        <w:rPr>
          <w:sz w:val="20"/>
          <w:lang w:val="nl-NL"/>
        </w:rPr>
      </w:pPr>
    </w:p>
    <w:p w14:paraId="6F88D0BF" w14:textId="77777777" w:rsidR="00DC69F1" w:rsidRPr="00A72198" w:rsidRDefault="00DC69F1" w:rsidP="00DE39DF">
      <w:pPr>
        <w:pStyle w:val="BodyText"/>
        <w:framePr w:w="10800" w:h="1914" w:hRule="exact" w:hSpace="187" w:wrap="auto" w:vAnchor="page" w:hAnchor="page" w:x="678" w:y="1061"/>
        <w:jc w:val="right"/>
        <w:rPr>
          <w:sz w:val="20"/>
          <w:lang w:val="nl-NL"/>
        </w:rPr>
      </w:pPr>
      <w:r w:rsidRPr="00A72198">
        <w:rPr>
          <w:sz w:val="20"/>
          <w:lang w:val="nl-NL"/>
        </w:rPr>
        <w:t xml:space="preserve"> </w:t>
      </w:r>
    </w:p>
    <w:p w14:paraId="6EBD1A75" w14:textId="77777777" w:rsidR="00DC69F1" w:rsidRPr="00A72198" w:rsidRDefault="00DC69F1">
      <w:pPr>
        <w:pStyle w:val="copyright"/>
        <w:rPr>
          <w:lang w:val="nl-NL"/>
        </w:rPr>
      </w:pPr>
    </w:p>
    <w:p w14:paraId="31B36603"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44B4676A" w14:textId="2ED81F74" w:rsidR="00A72198" w:rsidRDefault="00A72198" w:rsidP="00A72198">
      <w:pPr>
        <w:pStyle w:val="BodyText"/>
        <w:jc w:val="both"/>
        <w:rPr>
          <w:sz w:val="20"/>
        </w:rPr>
      </w:pPr>
      <w:r w:rsidRPr="00A72198">
        <w:rPr>
          <w:sz w:val="20"/>
        </w:rPr>
        <w:t xml:space="preserve">The Clean Energy Package (CEP) Directive (EU) 2019/944 calls on the Member States to develop regulatory frameworks that incentivise distribution system operators (DSOs) to consider the use of flexibility as an alternative to grid expansion. DSOs will have to develop and publish network development plans that make a trade-off between the use of flexible resources and system expansion. How this will be implemented is one of the main open issues in the evolution of electricity markets in Europe </w:t>
      </w:r>
      <w:r w:rsidRPr="00A72198">
        <w:rPr>
          <w:sz w:val="20"/>
        </w:rPr>
        <w:fldChar w:fldCharType="begin" w:fldLock="1"/>
      </w:r>
      <w:r w:rsidR="00677283">
        <w:rPr>
          <w:sz w:val="20"/>
        </w:rPr>
        <w:instrText>ADDIN CSL_CITATION {"citationItems":[{"id":"ITEM-1","itemData":{"ISBN":"978 1 78990 546 5","abstract":"Bridging theory and practice, this book offers insights into how Europe has experienced the evolution of modern electricity markets from the end of the 1990s to the present day. It explores defining moments in the process, including the four waves of European legislative packages, landmark court cases, and the impact of climate strikes and marches. Leonardo Meeus explains the sequence of electricity markets in Europe from wholesale to balancing markets, forward transmission markets, capacity mechanisms, redispatching and flexibility markets. Chapters explore current issues including the new paradigm that places the citizen at the centre of the energy transition. Concluding that most of the market integration process in Europe so far has required horizontal coordination between transmission system operators in different countries, the book looks ahead to the importance of vertical coordination between the transmission and distribution. An invaluable book for energy policymakers and practitioners working in Europe, the solutions offered for contemporary issues will also be helpful for those working in international or multi-region electricity markets more widely. Academics involved in the world of electricity regulation will also find this an invigorating read.","author":[{"dropping-particle":"","family":"Meeus","given":"Leonardo","non-dropping-particle":"","parse-names":false,"suffix":""}],"id":"ITEM-1","issued":{"date-parts":[["2020"]]},"publisher":"Edward Elgar Publishing","title":"The evolution of electricity markets in Europe","type":"book"},"uris":["http://www.mendeley.com/documents/?uuid=70930c9d-fc3b-4bcd-ab8e-df3423161652","http://www.mendeley.com/documents/?uuid=24439a23-4b9f-4c18-8127-766eb0d4e957"]}],"mendeley":{"formattedCitation":"(Meeus, 2020)","plainTextFormattedCitation":"(Meeus, 2020)","previouslyFormattedCitation":"(Meeus, 2020)"},"properties":{"noteIndex":0},"schema":"https://github.com/citation-style-language/schema/raw/master/csl-citation.json"}</w:instrText>
      </w:r>
      <w:r w:rsidRPr="00A72198">
        <w:rPr>
          <w:sz w:val="20"/>
        </w:rPr>
        <w:fldChar w:fldCharType="separate"/>
      </w:r>
      <w:r w:rsidRPr="00A72198">
        <w:rPr>
          <w:noProof/>
          <w:sz w:val="20"/>
        </w:rPr>
        <w:t>(Meeus, 2020)</w:t>
      </w:r>
      <w:r w:rsidRPr="00A72198">
        <w:rPr>
          <w:sz w:val="20"/>
        </w:rPr>
        <w:fldChar w:fldCharType="end"/>
      </w:r>
      <w:r w:rsidRPr="00A72198">
        <w:rPr>
          <w:sz w:val="20"/>
        </w:rPr>
        <w:t>.</w:t>
      </w:r>
    </w:p>
    <w:p w14:paraId="035D0753" w14:textId="77777777" w:rsidR="00A72198" w:rsidRPr="00A72198" w:rsidRDefault="00A72198" w:rsidP="00A72198">
      <w:pPr>
        <w:pStyle w:val="BodyText"/>
        <w:jc w:val="both"/>
        <w:rPr>
          <w:sz w:val="20"/>
        </w:rPr>
      </w:pPr>
    </w:p>
    <w:p w14:paraId="080CCC5B" w14:textId="424D3BF4" w:rsidR="00A72198" w:rsidRDefault="00A72198" w:rsidP="00A72198">
      <w:pPr>
        <w:pStyle w:val="BodyText"/>
        <w:jc w:val="both"/>
        <w:rPr>
          <w:sz w:val="20"/>
        </w:rPr>
      </w:pPr>
      <w:r w:rsidRPr="00A72198">
        <w:rPr>
          <w:sz w:val="20"/>
        </w:rPr>
        <w:t xml:space="preserve">There are only a few studies that focus on this trade-off. </w:t>
      </w:r>
      <w:r w:rsidRPr="00A72198">
        <w:rPr>
          <w:sz w:val="20"/>
        </w:rPr>
        <w:fldChar w:fldCharType="begin" w:fldLock="1"/>
      </w:r>
      <w:r w:rsidR="00677283">
        <w:rPr>
          <w:sz w:val="20"/>
        </w:rPr>
        <w:instrText>ADDIN CSL_CITATION {"citationItems":[{"id":"ITEM-1","itemData":{"author":[{"dropping-particle":"","family":"BMWi","given":"","non-dropping-particle":"","parse-names":false,"suffix":""}],"id":"ITEM-1","issued":{"date-parts":[["2014"]]},"title":"\"Moderne Verteilernetze für Deutschland\"","type":"report"},"uris":["http://www.mendeley.com/documents/?uuid=c71c062a-4180-4c33-9aa0-2ee08323c1ce","http://www.mendeley.com/documents/?uuid=78e0761a-9a6d-4ce3-be31-c5aa99784114"]}],"mendeley":{"formattedCitation":"(BMWi, 2014)","manualFormatting":"BMWi (2014)","plainTextFormattedCitation":"(BMWi, 2014)","previouslyFormattedCitation":"(BMWi, 2014)"},"properties":{"noteIndex":0},"schema":"https://github.com/citation-style-language/schema/raw/master/csl-citation.json"}</w:instrText>
      </w:r>
      <w:r w:rsidRPr="00A72198">
        <w:rPr>
          <w:sz w:val="20"/>
        </w:rPr>
        <w:fldChar w:fldCharType="separate"/>
      </w:r>
      <w:r w:rsidRPr="00A72198">
        <w:rPr>
          <w:noProof/>
          <w:sz w:val="20"/>
        </w:rPr>
        <w:t>BMWi (2014)</w:t>
      </w:r>
      <w:r w:rsidRPr="00A72198">
        <w:rPr>
          <w:sz w:val="20"/>
        </w:rPr>
        <w:fldChar w:fldCharType="end"/>
      </w:r>
      <w:r w:rsidRPr="00A72198">
        <w:rPr>
          <w:sz w:val="20"/>
        </w:rPr>
        <w:t xml:space="preserve">, a study for the German energy ministry, finds that allowing DSOs to curtail up to 3% of distributed generation (DG) would save about 40% of the network expansion cost. </w:t>
      </w:r>
      <w:r w:rsidRPr="00A72198">
        <w:rPr>
          <w:sz w:val="20"/>
        </w:rPr>
        <w:fldChar w:fldCharType="begin" w:fldLock="1"/>
      </w:r>
      <w:r w:rsidR="00677283">
        <w:rPr>
          <w:sz w:val="20"/>
        </w:rPr>
        <w:instrText>ADDIN CSL_CITATION {"citationItems":[{"id":"ITEM-1","itemData":{"author":[{"dropping-particle":"","family":"ENEDIS","given":"","non-dropping-particle":"","parse-names":false,"suffix":""}],"id":"ITEM-1","issued":{"date-parts":[["2017"]]},"title":"Valorisation économique des Smart Grids Contribution des gestionnaires de réseau public de distribution","type":"report"},"uris":["http://www.mendeley.com/documents/?uuid=acc96a70-67ad-4871-b60d-2ef4bc85e433","http://www.mendeley.com/documents/?uuid=596d42a7-fcd2-4259-89dc-60d0110303eb"]}],"mendeley":{"formattedCitation":"(ENEDIS, 2017)","manualFormatting":"ENEDIS (2017)","plainTextFormattedCitation":"(ENEDIS, 2017)","previouslyFormattedCitation":"(ENEDIS, 2017)"},"properties":{"noteIndex":0},"schema":"https://github.com/citation-style-language/schema/raw/master/csl-citation.json"}</w:instrText>
      </w:r>
      <w:r w:rsidRPr="00A72198">
        <w:rPr>
          <w:sz w:val="20"/>
        </w:rPr>
        <w:fldChar w:fldCharType="separate"/>
      </w:r>
      <w:r w:rsidRPr="00A72198">
        <w:rPr>
          <w:noProof/>
          <w:sz w:val="20"/>
        </w:rPr>
        <w:t>ENEDIS (2017)</w:t>
      </w:r>
      <w:r w:rsidRPr="00A72198">
        <w:rPr>
          <w:sz w:val="20"/>
        </w:rPr>
        <w:fldChar w:fldCharType="end"/>
      </w:r>
      <w:r w:rsidRPr="00A72198">
        <w:rPr>
          <w:sz w:val="20"/>
        </w:rPr>
        <w:t xml:space="preserve"> considers the costs and benefits of six flexibility options, on both the demand and supply sides, and finds that they may provide critical net gains by 2030. At the EU level, </w:t>
      </w:r>
      <w:r w:rsidRPr="00A72198">
        <w:rPr>
          <w:sz w:val="20"/>
        </w:rPr>
        <w:fldChar w:fldCharType="begin" w:fldLock="1"/>
      </w:r>
      <w:r w:rsidR="00677283">
        <w:rPr>
          <w:sz w:val="20"/>
        </w:rPr>
        <w:instrText>ADDIN CSL_CITATION {"citationItems":[{"id":"ITEM-1","itemData":{"author":[{"dropping-particle":"","family":"CE","given":"","non-dropping-particle":"","parse-names":false,"suffix":""},{"dropping-particle":"","family":"VVA Europe","given":"","non-dropping-particle":"","parse-names":false,"suffix":""}],"id":"ITEM-1","issued":{"date-parts":[["2016"]]},"title":"Impact assessment support study on: “Policies for DSOs, Distribution Tariffs and Data Handling”","type":"report"},"uris":["http://www.mendeley.com/documents/?uuid=87674a51-213b-46f4-80e9-c690353dc6ff","http://www.mendeley.com/documents/?uuid=89fa3005-fb40-47bc-b9d9-558d0f11772e"]}],"mendeley":{"formattedCitation":"(CE and VVA Europe, 2016)","manualFormatting":"CE and VVA Europe (2016)","plainTextFormattedCitation":"(CE and VVA Europe, 2016)","previouslyFormattedCitation":"(CE and VVA Europe, 2016)"},"properties":{"noteIndex":0},"schema":"https://github.com/citation-style-language/schema/raw/master/csl-citation.json"}</w:instrText>
      </w:r>
      <w:r w:rsidRPr="00A72198">
        <w:rPr>
          <w:sz w:val="20"/>
        </w:rPr>
        <w:fldChar w:fldCharType="separate"/>
      </w:r>
      <w:r w:rsidRPr="00A72198">
        <w:rPr>
          <w:noProof/>
          <w:sz w:val="20"/>
        </w:rPr>
        <w:t>CE and VVA Europe (2016)</w:t>
      </w:r>
      <w:r w:rsidRPr="00A72198">
        <w:rPr>
          <w:sz w:val="20"/>
        </w:rPr>
        <w:fldChar w:fldCharType="end"/>
      </w:r>
      <w:r w:rsidRPr="00A72198">
        <w:rPr>
          <w:sz w:val="20"/>
        </w:rPr>
        <w:t xml:space="preserve"> developed an impact assessment report for the European Commission that estimates up to €5 billion annual savings in the EU by avoiding distribution investments towards 2030 from both demand and supply sides flexibility. </w:t>
      </w:r>
    </w:p>
    <w:p w14:paraId="235E801E" w14:textId="54E3EB16" w:rsidR="00A72198" w:rsidRDefault="00A72198" w:rsidP="00A72198">
      <w:pPr>
        <w:pStyle w:val="BodyText"/>
        <w:jc w:val="both"/>
        <w:rPr>
          <w:sz w:val="20"/>
        </w:rPr>
      </w:pPr>
      <w:r w:rsidRPr="00A72198">
        <w:rPr>
          <w:sz w:val="20"/>
        </w:rPr>
        <w:t xml:space="preserve">In the academic literature, </w:t>
      </w:r>
      <w:r w:rsidRPr="00A72198">
        <w:rPr>
          <w:sz w:val="20"/>
        </w:rPr>
        <w:fldChar w:fldCharType="begin" w:fldLock="1"/>
      </w:r>
      <w:r w:rsidR="00677283">
        <w:rPr>
          <w:sz w:val="20"/>
        </w:rPr>
        <w:instrText>ADDIN CSL_CITATION {"citationItems":[{"id":"ITEM-1","itemData":{"DOI":"10.1016/j.apenergy.2016.08.145","ISSN":"03062619","abstract":"The volumes of intermittent renewable energy sources (RES) and electric vehicles (EVs) are increasing in grids across Europe. Undoubtedly, the distribution networks cope with congestion issues much more often due to distributed generation and increased network use. Such issues are often handled by unit re-dispatching in short term and grid expansion in long term. Re-dispatching is, however, not always an appropriate solution for local distribution networks since the limited generation units are mostly RES of uncontrollable volatility. Recovering the incurred investment costs on the other hand would trigger an increase of the network tariffs. A possible solution is to defer such an investment by utilizing the demand side resources. The FlexMart model, developed and suggested in this paper, provides the ability for the Distribution System Operator (DSO) to purchase demand flexibility offered by residential consumers. Two feeders with different topologies are tested and the ability of the suggested mechanism to provide benefits for the involved stakeholders, both the DSO and the consumers, is demonstrated. The developed empirical model, works as a long-term planning tool and has the ability to provide an optimal combination of physical expansions and flexibility dispatch to reassure the stable and secure operation of the grid.","author":[{"dropping-particle":"","family":"Spiliotis","given":"Konstantinos","non-dropping-particle":"","parse-names":false,"suffix":""},{"dropping-particle":"","family":"Ramos Gutierrez","given":"Ariana Isabel","non-dropping-particle":"","parse-names":false,"suffix":""},{"dropping-particle":"","family":"Belmans","given":"Ronnie","non-dropping-particle":"","parse-names":false,"suffix":""}],"container-title":"Applied Energy","id":"ITEM-1","issued":{"date-parts":[["2016"]]},"title":"Demand flexibility versus physical network expansions in distribution grids","type":"article-journal"},"uris":["http://www.mendeley.com/documents/?uuid=c89742ac-b66f-4879-b351-f2aab0042aca","http://www.mendeley.com/documents/?uuid=3880fb45-67c9-4032-8c90-d8167ad0ae25"]}],"mendeley":{"formattedCitation":"(Spiliotis et al., 2016)","manualFormatting":"Spiliotis et al. (2016)","plainTextFormattedCitation":"(Spiliotis et al., 2016)","previouslyFormattedCitation":"(Spiliotis et al., 2016)"},"properties":{"noteIndex":0},"schema":"https://github.com/citation-style-language/schema/raw/master/csl-citation.json"}</w:instrText>
      </w:r>
      <w:r w:rsidRPr="00A72198">
        <w:rPr>
          <w:sz w:val="20"/>
        </w:rPr>
        <w:fldChar w:fldCharType="separate"/>
      </w:r>
      <w:r w:rsidRPr="00A72198">
        <w:rPr>
          <w:noProof/>
          <w:sz w:val="20"/>
        </w:rPr>
        <w:t>Spiliotis et al. (2016)</w:t>
      </w:r>
      <w:r w:rsidRPr="00A72198">
        <w:rPr>
          <w:sz w:val="20"/>
        </w:rPr>
        <w:fldChar w:fldCharType="end"/>
      </w:r>
      <w:r w:rsidRPr="00A72198">
        <w:rPr>
          <w:sz w:val="20"/>
        </w:rPr>
        <w:t xml:space="preserve"> propose a model that assesses the trade-off between grid expansion and demand and DG curtailment. They find that for a congested 24-node radial distribution network, all physical expansions could be avoided with 12% flexible demand. </w:t>
      </w:r>
      <w:r w:rsidRPr="00A72198">
        <w:rPr>
          <w:sz w:val="20"/>
        </w:rPr>
        <w:fldChar w:fldCharType="begin" w:fldLock="1"/>
      </w:r>
      <w:r w:rsidR="00677283">
        <w:rPr>
          <w:sz w:val="20"/>
        </w:rPr>
        <w:instrText>ADDIN CSL_CITATION {"citationItems":[{"id":"ITEM-1","itemData":{"DOI":"10.1016/j.apenergy.2019.113662","ISSN":"03062619","abstract":"Distributed energy resources (DER) and new types of consumer equipment create many challenges for distribution system operators (DSOs). Power congestions that can potentially be created during normal or contingency situations will lead to increased investments into grid reinforcement. An alternative solution is to use the flexibility provided by the local resources in the grid. In this paper value of flexibility (VoF) is used as an indicator that can be utilized by the DSO to compare it against costs of the different active elements (AEs) providing flexibility services (FSs). The paper proposes flexibility characterization framework that allows to generalize the process of the cost estimations of any AE by using combinations of cost functions. A case study based on an actual distribution grid is provided to demonstrate the potential application of the framework. Results show that by comparing VoF and total cost of the flexibility the most cost-efficient solution could be found.","author":[{"dropping-particle":"","family":"Klyapovskiy","given":"Sergey","non-dropping-particle":"","parse-names":false,"suffix":""},{"dropping-particle":"","family":"You","given":"Shi","non-dropping-particle":"","parse-names":false,"suffix":""},{"dropping-particle":"","family":"Michiorri","given":"Andrea","non-dropping-particle":"","parse-names":false,"suffix":""},{"dropping-particle":"","family":"Kariniotakis","given":"George","non-dropping-particle":"","parse-names":false,"suffix":""},{"dropping-particle":"","family":"Bindner","given":"Henrik W.","non-dropping-particle":"","parse-names":false,"suffix":""}],"container-title":"Applied Energy","id":"ITEM-1","issued":{"date-parts":[["2019"]]},"title":"Incorporating flexibility options into distribution grid reinforcement planning: A techno-economic framework approach","type":"article-journal"},"uris":["http://www.mendeley.com/documents/?uuid=e9d84e94-44b1-4228-8fb3-47aea391911f","http://www.mendeley.com/documents/?uuid=90998dc5-2dab-487f-9bad-c6dbc2c3240b"]}],"mendeley":{"formattedCitation":"(Klyapovskiy et al., 2019)","manualFormatting":"Klyapovskiy et al. (2019)","plainTextFormattedCitation":"(Klyapovskiy et al., 2019)","previouslyFormattedCitation":"(Klyapovskiy et al., 2019)"},"properties":{"noteIndex":0},"schema":"https://github.com/citation-style-language/schema/raw/master/csl-citation.json"}</w:instrText>
      </w:r>
      <w:r w:rsidRPr="00A72198">
        <w:rPr>
          <w:sz w:val="20"/>
        </w:rPr>
        <w:fldChar w:fldCharType="separate"/>
      </w:r>
      <w:r w:rsidRPr="00A72198">
        <w:rPr>
          <w:noProof/>
          <w:sz w:val="20"/>
        </w:rPr>
        <w:t>Klyapovskiy et al. (2019)</w:t>
      </w:r>
      <w:r w:rsidRPr="00A72198">
        <w:rPr>
          <w:sz w:val="20"/>
        </w:rPr>
        <w:fldChar w:fldCharType="end"/>
      </w:r>
      <w:r w:rsidRPr="00A72198">
        <w:rPr>
          <w:sz w:val="20"/>
        </w:rPr>
        <w:t xml:space="preserve"> consider flexibility from the demand side and in terms of technical solutions using grid assets and compare them to traditional reinforcement over a period of four years. </w:t>
      </w:r>
      <w:r w:rsidRPr="00A72198">
        <w:rPr>
          <w:sz w:val="20"/>
        </w:rPr>
        <w:fldChar w:fldCharType="begin" w:fldLock="1"/>
      </w:r>
      <w:r w:rsidR="00677283">
        <w:rPr>
          <w:sz w:val="20"/>
        </w:rPr>
        <w:instrText>ADDIN CSL_CITATION {"citationItems":[{"id":"ITEM-1","itemData":{"DOI":"10.1109/TPWRS.2017.2672798","ISSN":"08858950","abstract":"This paper presents a bi-level model for distribution network and renewable energy expansion planning under a demand response (DR) framework. The role of DR has recently attracted an increasing interest in power systems. However, previous models have not been completely adapted in order to treat DR on an equal footing. The target of the distribution network and generation planner, modeled through the upper-level problem, is to minimize generation and network investment cost while meeting the demand. This upper-level problem is constrained by the lower-level problem, stressing the importance of integrating DR to time-varying prices into those investment models. The objective function considered for the lower level is the minimization of overall payment faced by the consumers. Using the Karush-Kuhn-Tucker complementarity constraints, the proposed bi-level model is recast as a mixed-integer linear programming problem, which is solvable using efficient off-the-shelf branch-and-cut solvers. Detailed results from an insular case study (La Graciosa, Canary Islands, Spain) are presented.","author":[{"dropping-particle":"","family":"Asensio","given":"Miguel","non-dropping-particle":"","parse-names":false,"suffix":""},{"dropping-particle":"","family":"Muñoz-Delgado","given":"Gregorio","non-dropping-particle":"","parse-names":false,"suffix":""},{"dropping-particle":"","family":"Contreras","given":"Javier","non-dropping-particle":"","parse-names":false,"suffix":""}],"container-title":"IEEE Transactions on Power Systems","id":"ITEM-1","issued":{"date-parts":[["2017"]]},"title":"Bi-level approach to distribution network and renewable energy expansion planning considering demand response","type":"article-journal"},"uris":["http://www.mendeley.com/documents/?uuid=da049440-9414-4940-bd92-0d70e26ccb7a","http://www.mendeley.com/documents/?uuid=ea89ffdb-8941-450f-88a5-72b166b8251a"]}],"mendeley":{"formattedCitation":"(Asensio et al., 2017)","manualFormatting":"Asensio et al. (2017)","plainTextFormattedCitation":"(Asensio et al., 2017)","previouslyFormattedCitation":"(Asensio et al., 2017)"},"properties":{"noteIndex":0},"schema":"https://github.com/citation-style-language/schema/raw/master/csl-citation.json"}</w:instrText>
      </w:r>
      <w:r w:rsidRPr="00A72198">
        <w:rPr>
          <w:sz w:val="20"/>
        </w:rPr>
        <w:fldChar w:fldCharType="separate"/>
      </w:r>
      <w:r w:rsidRPr="00A72198">
        <w:rPr>
          <w:noProof/>
          <w:sz w:val="20"/>
        </w:rPr>
        <w:t>Asensio et al. (2017)</w:t>
      </w:r>
      <w:r w:rsidRPr="00A72198">
        <w:rPr>
          <w:sz w:val="20"/>
        </w:rPr>
        <w:fldChar w:fldCharType="end"/>
      </w:r>
      <w:r w:rsidRPr="00A72198">
        <w:rPr>
          <w:sz w:val="20"/>
        </w:rPr>
        <w:t xml:space="preserve"> develop a bi-level model for the distribution network and renewable energy expansion planning under a Demand Response (DR) framework. They use a nodal network where the upper-level minimizes generation and network investment cost and the lower-level minimizes the overall payment faced by the consumers. They show how DR can contribute to adequately accommodate renewable generation in a joint expansion planning. Additionally, the potential of DR for deferring investments has been successfully demonstrated. </w:t>
      </w:r>
    </w:p>
    <w:p w14:paraId="0BC2ED26" w14:textId="77777777" w:rsidR="00A72198" w:rsidRDefault="00A72198" w:rsidP="00A72198">
      <w:pPr>
        <w:pStyle w:val="BodyText"/>
        <w:jc w:val="both"/>
        <w:rPr>
          <w:sz w:val="20"/>
        </w:rPr>
      </w:pPr>
    </w:p>
    <w:p w14:paraId="5582B971" w14:textId="54B9515D" w:rsidR="00A72198" w:rsidRPr="00A72198" w:rsidRDefault="00A72198" w:rsidP="00A72198">
      <w:pPr>
        <w:pStyle w:val="BodyText"/>
        <w:jc w:val="both"/>
        <w:rPr>
          <w:sz w:val="20"/>
        </w:rPr>
      </w:pPr>
      <w:r w:rsidRPr="00A72198">
        <w:rPr>
          <w:sz w:val="20"/>
        </w:rPr>
        <w:t xml:space="preserve">The first contribution of </w:t>
      </w:r>
      <w:bookmarkStart w:id="1" w:name="_Hlk61475050"/>
      <w:r w:rsidRPr="00A72198">
        <w:rPr>
          <w:sz w:val="20"/>
        </w:rPr>
        <w:t>this paper is to assess the interaction between implicit and explicit demand-side flexibility</w:t>
      </w:r>
      <w:bookmarkEnd w:id="1"/>
      <w:r w:rsidRPr="00A72198">
        <w:rPr>
          <w:sz w:val="20"/>
        </w:rPr>
        <w:t xml:space="preserve">. Implicit demand-side flexibility is when prosumers react to price signals triggered by electricity market prices and network tariffs. Explicit demand-side flexibility is when the DSO curtails consumers' loads for a certain amount of compensation. Two streams of literature can be identified. First, the state-of-the-art papers on network tariff design, such as </w:t>
      </w:r>
      <w:r w:rsidRPr="00A72198">
        <w:rPr>
          <w:sz w:val="20"/>
        </w:rPr>
        <w:fldChar w:fldCharType="begin" w:fldLock="1"/>
      </w:r>
      <w:r w:rsidR="00677283">
        <w:rPr>
          <w:sz w:val="20"/>
        </w:rPr>
        <w:instrText>ADDIN CSL_CITATION {"citationItems":[{"id":"ITEM-1","itemData":{"DOI":"10.1016/j.apenergy.2017.08.103","ISSN":"03062619","abstract":"The transformation of electricity network users from passive to active agents, as a result of decreasing costs of distributed energy resources, requires several adaptions, one of which is revising the distribution network charges. Often current network charge designs do not ensure network cost recovery and lack to incentivize efficient network investments and usage. New network charge methodologies are required to guide and incentivize customers in an efficient way while maximizing system economic efficiency. This paper proposes an efficient methodology that ensures network cost recovery while promoting efficient usage of the network as well as efficient network investments. The proposed network charge design consisting of two components: a peak coincidence network charge (PCNC) and fixed charge. The PCNC is a forward-looking charge as it considers the cost of future network reinforcements required and assigned to customers during peak hours of the network utilization. Fixed charges allocate the residual of the network costs following Ramsey-pricing principles. This paper compares the outcome from economic optimum customers’ response to four different network charges: (i) volumetric charges (ii) fixed charges (iii) peak demand charge (iv) PCNC plus fixed charges. Two case studies for two different load profiles are simulated using linear programming to minimize their total costs within each charges design, considering the possibility of buying electricity from the grid and investing on onsite generation or curtail load. Finally, the paper highlights through the case studies how customer's response is highly influenced by diffe</w:instrText>
      </w:r>
      <w:r w:rsidR="00677283" w:rsidRPr="00677283">
        <w:rPr>
          <w:sz w:val="20"/>
          <w:lang w:val="nl-NL"/>
        </w:rPr>
        <w:instrText>rent network charge designs, and compares the consequences of these responses in terms of network cost recovery and total system costs. The paper concludes with practical issues that need to be considered for the implementation of the proposed network charges design.","author":[{"dropping-particle":"","family":"Abdelmotteleb","given":"Ibtihal","non-dropping-particle":"","parse-names":false,"suffix":""},{"dropping-particle":"","family":"Gómez","given":"Tomás","non-dropping-particle":"","parse-names":false,"suffix":""},{"dropping-particle":"","family":"Chaves Ávila","given":"José Pablo","non-dropping-particle":"","parse-names":false,"suffix":""},{"dropping-particle":"","family":"Reneses","given":"Javier","non-dropping-particle":"","parse-names":false,"suffix":""}],"container-title":"Applied Energy","id":"ITEM-1","issued":{"date-parts":[["2018"]]},"title":"Designing efficient distribution network charges in the context of active customers","type":"article-journal"},"uris":["http://www.mendeley.com/documents/?uuid=532e443f-fbd8-4526-8da6-30aeae8772c2","http://www.mendeley.com/documents/?uuid=436623a9-ca28-42c6-ac1b-2a785d5aa5e5"]}],"mendeley":{"formattedCitation":"(Abdelmotteleb et al., 2018)","manualFormatting":"Abdelmotteleb et al. (2018)","plainTextFormattedCitation":"(Abdelmotteleb et al., 2018)","previouslyFormattedCitation":"(Abdelmotteleb et al., 2018)"},"properties":{"noteIndex":0},"schema":"https://github.com/citation-style-language/schema/raw/master/csl-citation.json"}</w:instrText>
      </w:r>
      <w:r w:rsidRPr="00A72198">
        <w:rPr>
          <w:sz w:val="20"/>
        </w:rPr>
        <w:fldChar w:fldCharType="separate"/>
      </w:r>
      <w:r w:rsidRPr="00677283">
        <w:rPr>
          <w:noProof/>
          <w:sz w:val="20"/>
          <w:lang w:val="nl-NL"/>
        </w:rPr>
        <w:t>Abdelmotteleb et al. (2018)</w:t>
      </w:r>
      <w:r w:rsidRPr="00A72198">
        <w:rPr>
          <w:sz w:val="20"/>
        </w:rPr>
        <w:fldChar w:fldCharType="end"/>
      </w:r>
      <w:r w:rsidRPr="00677283">
        <w:rPr>
          <w:sz w:val="20"/>
          <w:lang w:val="nl-NL"/>
        </w:rPr>
        <w:t xml:space="preserve">, </w:t>
      </w:r>
      <w:r w:rsidRPr="00A72198">
        <w:rPr>
          <w:sz w:val="20"/>
        </w:rPr>
        <w:fldChar w:fldCharType="begin" w:fldLock="1"/>
      </w:r>
      <w:r w:rsidR="00677283" w:rsidRPr="00677283">
        <w:rPr>
          <w:sz w:val="20"/>
          <w:lang w:val="nl-NL"/>
        </w:rPr>
        <w:instrText>ADDIN CSL_CITATION {"citationItems":[{"id":"ITEM-1","itemData":{"DOI":"10.5547/01956574.41.1.sbur","ISSN":"01956574","abstract":"Electricity tariffs typically charge residential users a volumetric rate that covers the bulk of energy, transmission, and distribution costs. The resulting prices, charged per unit of electricity consumed, do not reflect marginal costs and vary little across time and space. The emergence of distributed energy resources—such as solar photovoltaics and energy storage—has sparked interest among regulators and utilities in reforming electricity tariffs to enable more efficient utilization of these resources. The economic pressure to redesign electricity rates is countered by concerns of how more efficient rate structures might impact different socioeconomic groups. We analyze the bill impacts of alternative rate plans using interval metering data for more than 100,000 customers in the Chicago, Illinois area. We combine these data with granular Census data to assess the incidence of bill changes across different socioeconomic groups. We find that low-income customers would face bill increases on average in a transition to more economically efficient electricity tariffs. However, we demonstrate that simple changes to fixed charges in two-part tariffs can mitigate these disparities while preserving all, or the vast majority, of the efficiency gains. These designs rely exclusively on observable information and could be replicated by utilities in many geographies across the U.S.","author":[{"dropping-particle":"","family":"Burger","given":"Scott P.","non-dropping-particle":"","parse-names":false,"suffix":""},{"dropping-particle":"","family":"Knittel","given":"Christopher R.","non-dropping-particle":"","parse-names":false,"suffix":""},{"dropping-particle":"","family":"Pérez-Arriaga","given":"Ignacio J.","non-dropping-particle":"","parse-names":false,"suffix":""},{"dropping-particle":"","family":"Schneider","given":"Ian","non-dropping-particle":"","parse-names":false,"suffix":""},{"dropping-particle":"","family":"Scheidt","given":"Frederik","non-dropping-particle":"Vom","parse-names":false,"suffix":""}],"container-title":"Energy Journal","id":"ITEM-1","issued":{"date-parts":[["2020"]]},"title":"The efficiency and distributional effects of alternative residential electricity rate designs","type":"article-journal"},"uris":["http://www.mendeley.com/documents/?uuid=f40c73b6-f091-46d3-8807-48d33f2e879d","http://www.mendeley.com/documents/?uuid=44c70e2a-d649-42d3-8f05-f014ee057448"]}],"mendeley":{"formattedCitation":"(Burger et al., 2020)","manualFormatting":"Burger et al. (2020)","plainTextFormattedCitation":"(Burger et al., 2020)","previouslyFormattedCitation":"(Burger et al., 2020)"},"properties":{"noteIndex":0},"schema":"https://github.com/citation-style-language/schema/raw/master/csl-citation.json"}</w:instrText>
      </w:r>
      <w:r w:rsidRPr="00A72198">
        <w:rPr>
          <w:sz w:val="20"/>
        </w:rPr>
        <w:fldChar w:fldCharType="separate"/>
      </w:r>
      <w:r w:rsidRPr="00677283">
        <w:rPr>
          <w:noProof/>
          <w:sz w:val="20"/>
          <w:lang w:val="nl-NL"/>
        </w:rPr>
        <w:t>Burger et al. (2020)</w:t>
      </w:r>
      <w:r w:rsidRPr="00A72198">
        <w:rPr>
          <w:sz w:val="20"/>
        </w:rPr>
        <w:fldChar w:fldCharType="end"/>
      </w:r>
      <w:r w:rsidRPr="00677283">
        <w:rPr>
          <w:sz w:val="20"/>
          <w:lang w:val="nl-NL"/>
        </w:rPr>
        <w:t xml:space="preserve">, </w:t>
      </w:r>
      <w:r w:rsidRPr="00A72198">
        <w:rPr>
          <w:sz w:val="20"/>
        </w:rPr>
        <w:fldChar w:fldCharType="begin" w:fldLock="1"/>
      </w:r>
      <w:r w:rsidR="00677283" w:rsidRPr="00677283">
        <w:rPr>
          <w:sz w:val="20"/>
          <w:lang w:val="nl-NL"/>
        </w:rPr>
        <w:instrText>ADDIN CSL_CITATION {"citationItems":[{"id":"ITEM-1","itemData":{"author":[{"dropping-particle":"","family":"Villena","given":"Miguel Manuel","non-dropping-particle":"De","parse-names":false,"suffix":""},{"dropping-particle":"","family":"Jacqmin","given":"Julien","non-dropping-particle":"","parse-names":false,"suffix":""},{"dropping-particle":"","family":"Fonteneau","given":"Raphael","non-dropping-particle":"","parse-names":false,"suffix":""},{"dropping-particle":"","family":"Gautier","given":"Axel","non-dropping-particle":"","parse-names":false,"suffix":""},{"dropping-particle":"","family":"Ernst","given":"Damien","non-dropping-particle":"","parse-names":false,"suffix":""}],"id":"ITEM-1","issued":{"date-parts":[["2020"]]},"title":"Network tariffs and the integration of prosumers: the Case of Wallonia","type":"article-journal"},"uris":["http://www.mendeley.com/documents/?uuid=8757eabd-f1f5-4bfa-8688-4eb4339c7637","http://www.mendeley.com/documents/?uuid=523a10cb-5726-4365-b863-d6cc81f2b4de"]}],"mendeley":{"formattedCitation":"(De Villena et al., 2020)","manualFormatting":"De Villena et al. (2020)","plainTextFormattedCitation":"(De Villena et al., 2020)","previouslyFormattedCitation":"(De Villena et al., 2020)"},"properties":{"noteIndex":0},"schema":"https://github.com/citation-style-language/schema/raw/master/csl-citation.json"}</w:instrText>
      </w:r>
      <w:r w:rsidRPr="00A72198">
        <w:rPr>
          <w:sz w:val="20"/>
        </w:rPr>
        <w:fldChar w:fldCharType="separate"/>
      </w:r>
      <w:r w:rsidRPr="00677283">
        <w:rPr>
          <w:noProof/>
          <w:sz w:val="20"/>
          <w:lang w:val="nl-NL"/>
        </w:rPr>
        <w:t xml:space="preserve">De Villena et al. </w:t>
      </w:r>
      <w:r w:rsidRPr="00A72198">
        <w:rPr>
          <w:noProof/>
          <w:sz w:val="20"/>
        </w:rPr>
        <w:t>(2020)</w:t>
      </w:r>
      <w:r w:rsidRPr="00A72198">
        <w:rPr>
          <w:sz w:val="20"/>
        </w:rPr>
        <w:fldChar w:fldCharType="end"/>
      </w:r>
      <w:r w:rsidRPr="00A72198">
        <w:rPr>
          <w:sz w:val="20"/>
        </w:rPr>
        <w:t xml:space="preserve">, and </w:t>
      </w:r>
      <w:r w:rsidRPr="00A72198">
        <w:rPr>
          <w:sz w:val="20"/>
        </w:rPr>
        <w:fldChar w:fldCharType="begin" w:fldLock="1"/>
      </w:r>
      <w:r w:rsidR="00677283">
        <w:rPr>
          <w:sz w:val="20"/>
        </w:rPr>
        <w:instrText>ADDIN CSL_CITATION {"citationItems":[{"id":"ITEM-1","itemData":{"DOI":"10.5547/01956574.41.5.tsch","author":[{"dropping-particle":"","family":"Schittekatte","given":"Tim","non-dropping-particle":"","parse-names":false,"suffix":""},{"dropping-particle":"","family":"Meeus","given":"Leonardo","non-dropping-particle":"","parse-names":false,"suffix":""}],"container-title":"Energy Journal","id":"ITEM-1","issue":"5","issued":{"date-parts":[["2020"]]},"page":"97-133","title":"Least-cost distribution network tariff design in theory and practice","type":"article-journal","volume":"41"},"uris":["http://www.mendeley.com/documents/?uuid=50f990af-0882-419e-ad1c-89ea581d544f","http://www.mendeley.com/documents/?uuid=622051be-a15e-4459-b7d3-b491b0bfe11b"]}],"mendeley":{"formattedCitation":"(Schittekatte and Meeus, 2020)","manualFormatting":"Schittekatte and Meeus (2020)","plainTextFormattedCitation":"(Schittekatte and Meeus, 2020)","previouslyFormattedCitation":"(Schittekatte and Meeus, 2020)"},"properties":{"noteIndex":0},"schema":"https://github.com/citation-style-language/schema/raw/master/csl-citation.json"}</w:instrText>
      </w:r>
      <w:r w:rsidRPr="00A72198">
        <w:rPr>
          <w:sz w:val="20"/>
        </w:rPr>
        <w:fldChar w:fldCharType="separate"/>
      </w:r>
      <w:r w:rsidRPr="00A72198">
        <w:rPr>
          <w:noProof/>
          <w:sz w:val="20"/>
        </w:rPr>
        <w:t>Schittekatte and Meeus (2020)</w:t>
      </w:r>
      <w:r w:rsidRPr="00A72198">
        <w:rPr>
          <w:sz w:val="20"/>
        </w:rPr>
        <w:fldChar w:fldCharType="end"/>
      </w:r>
      <w:r w:rsidRPr="00A72198">
        <w:rPr>
          <w:sz w:val="20"/>
        </w:rPr>
        <w:t xml:space="preserve">, do not consider the interaction with explicit demand-side flexibility. Second, the state-of-the-art papers on explicit demand-side flexibility (also referred to as active grid management in engineering literature), such as </w:t>
      </w:r>
      <w:bookmarkStart w:id="2" w:name="_Hlk62312256"/>
      <w:r w:rsidRPr="00A72198">
        <w:rPr>
          <w:sz w:val="20"/>
        </w:rPr>
        <w:fldChar w:fldCharType="begin" w:fldLock="1"/>
      </w:r>
      <w:r w:rsidR="00677283">
        <w:rPr>
          <w:sz w:val="20"/>
        </w:rPr>
        <w:instrText>ADDIN CSL_CITATION {"citationItems":[{"id":"ITEM-1","itemData":{"DOI":"10.1109/TSG.2014.2375067","ISSN":"19493053","abstract":"Without demand-side management, an increase in the number of electric vehicles (EVs) could result in overloads on distribution feeders. Aggregators could optimally manage the charging/discharging of the EVs, to not only maximize the consumers' welfare in response to real-time prices and accommodate their needs for transportation, but also to keep the distribution network within its operating limits. This paper proposes a decentralized framework in which the aggregator seeks to maximize its profits while the consumers minimize their costs in response to time-varying prices, and additional incentives provided to mitigate potential overloads in the distribution system. Test results show that a large penetration of EV penetration can then be managed without violating the capacity of the distribution network.","author":[{"dropping-particle":"","family":"Sarker","given":"Mushfiqur R.","non-dropping-particle":"","parse-names":false,"suffix":""},{"dropping-particle":"","family":"Ortega-Vazquez","given":"Miguel A.","non-dropping-particle":"","parse-names":false,"suffix":""},{"dropping-particle":"","family":"Kirschen","given":"Daniel S.","non-dropping-particle":"","parse-names":false,"suffix":""}],"container-title":"IEEE Transactions on Smart Grid","id":"ITEM-1","issued":{"date-parts":[["2015"]]},"title":"Optimal Coordination and Scheduling of Demand Response via Monetary Incentives","type":"article-journal"},"uris":["http://www.mendeley.com/documents/?uuid=c83e9f0b-9107-474a-9791-44b22f27352e","http://www.mendeley.com/documents/?uuid=5f924acd-0d76-4d87-ac2b-0e2eb7a2fa19"]}],"mendeley":{"formattedCitation":"(Sarker et al., 2015)","manualFormatting":"Sarker et al. (2015)","plainTextFormattedCitation":"(Sarker et al., 2015)","previouslyFormattedCitation":"(Sarker et al., 2015)"},"properties":{"noteIndex":0},"schema":"https://github.com/citation-style-language/schema/raw/master/csl-citation.json"}</w:instrText>
      </w:r>
      <w:r w:rsidRPr="00A72198">
        <w:rPr>
          <w:sz w:val="20"/>
        </w:rPr>
        <w:fldChar w:fldCharType="separate"/>
      </w:r>
      <w:r w:rsidRPr="00A72198">
        <w:rPr>
          <w:noProof/>
          <w:sz w:val="20"/>
        </w:rPr>
        <w:t>Sarker et al. (2015)</w:t>
      </w:r>
      <w:r w:rsidRPr="00A72198">
        <w:rPr>
          <w:sz w:val="20"/>
        </w:rPr>
        <w:fldChar w:fldCharType="end"/>
      </w:r>
      <w:r w:rsidRPr="00A72198">
        <w:rPr>
          <w:sz w:val="20"/>
        </w:rPr>
        <w:t xml:space="preserve">, </w:t>
      </w:r>
      <w:r w:rsidRPr="00A72198">
        <w:rPr>
          <w:sz w:val="20"/>
        </w:rPr>
        <w:fldChar w:fldCharType="begin" w:fldLock="1"/>
      </w:r>
      <w:r w:rsidR="00677283">
        <w:rPr>
          <w:sz w:val="20"/>
        </w:rPr>
        <w:instrText>ADDIN CSL_CITATION {"citationItems":[{"id":"ITEM-1","itemData":{"DOI":"10.1016/j.apenergy.2016.08.145","ISSN":"03062619","abstract":"The volumes of intermittent renewable energy sources (RES) and electric vehicles (EVs) are increasing in grids across Europe. Undoubtedly, the distribution networks cope with congestion issues much more often due to distributed generation and increased network use. Such issues are often handled by unit re-dispatching in short term and grid expansion in long term. Re-dispatching is, however, not always an appropriate solution for local distribution networks since the limited generation units are mostly RES of uncontrollable volatility. Recovering the incurred investment costs on the other hand would trigger an increase of the network tariffs. A possible solution is to defer such an investment by utilizing the demand side resources. The FlexMart model, developed and suggested in this paper, provides the ability for the Distribution System Operator (DSO) to purchase demand flexibility offered by residential consumers. Two feeders with different topologies are tested and the ability of the suggested mechanism to provide benefits for the involved stakeholders, both the DSO and the consumers, is demonstrated. The developed empirical model, works as a long-term planning tool and has the ability to provide an optimal combination of physical expansions and flexibility dispatch to reassure the stable and secure operation of the grid.","author":[{"dropping-particle":"","family":"Spiliotis","given":"Konstantinos","non-dropping-particle":"","parse-names":false,"suffix":""},{"dropping-particle":"","family":"Ramos Gutierrez","given":"Ariana Isabel","non-dropping-particle":"","parse-names":false,"suffix":""},{"dropping-particle":"","family":"Belmans","given":"Ronnie","non-dropping-particle":"","parse-names":false,"suffix":""}],"container-title":"Applied Energy","id":"ITEM-1","issued":{"date-parts":[["2016"]]},"title":"Demand flexibility versus physical network expansions in distribution grids","type":"article-journal"},"uris":["http://www.mendeley.com/documents/?uuid=3880fb45-67c9-4032-8c90-d8167ad0ae25","http://www.mendeley.com/documents/?uuid=ff99ad1e-3db7-4c19-bd3c-62651de49b7f"]}],"mendeley":{"formattedCitation":"(Spiliotis et al., 2016)","manualFormatting":"Spiliotis et al. (2016)","plainTextFormattedCitation":"(Spiliotis et al., 2016)","previouslyFormattedCitation":"(Spiliotis et al., 2016)"},"properties":{"noteIndex":0},"schema":"https://github.com/citation-style-language/schema/raw/master/csl-citation.json"}</w:instrText>
      </w:r>
      <w:r w:rsidRPr="00A72198">
        <w:rPr>
          <w:sz w:val="20"/>
        </w:rPr>
        <w:fldChar w:fldCharType="separate"/>
      </w:r>
      <w:r w:rsidRPr="00A72198">
        <w:rPr>
          <w:noProof/>
          <w:sz w:val="20"/>
        </w:rPr>
        <w:t>Spiliotis et al. (2016)</w:t>
      </w:r>
      <w:r w:rsidRPr="00A72198">
        <w:rPr>
          <w:sz w:val="20"/>
        </w:rPr>
        <w:fldChar w:fldCharType="end"/>
      </w:r>
      <w:r w:rsidRPr="00A72198">
        <w:rPr>
          <w:sz w:val="20"/>
        </w:rPr>
        <w:t xml:space="preserve"> and </w:t>
      </w:r>
      <w:bookmarkEnd w:id="2"/>
      <w:r w:rsidRPr="00A72198">
        <w:rPr>
          <w:sz w:val="20"/>
        </w:rPr>
        <w:fldChar w:fldCharType="begin" w:fldLock="1"/>
      </w:r>
      <w:r w:rsidR="00677283">
        <w:rPr>
          <w:sz w:val="20"/>
        </w:rPr>
        <w:instrText>ADDIN CSL_CITATION {"citationItems":[{"id":"ITEM-1","itemData":{"DOI":"10.1109/TPWRS.2017.2672798","ISSN":"08858950","abstract":"This paper presents a bi-level model for distribution network and renewable energy expansion planning under a demand response (DR) framework. The role of DR has recently attracted an increasing interest in power systems. However, previous models have not been completely adapted in order to treat DR on an equal footing. The target of the distribution network and generation planner, modeled through the upper-level problem, is to minimize generation and network investment cost while meeting the demand. This upper-level problem is constrained by the lower-level problem, stressing the importance of integrating DR to time-varying prices into those investment models. The objective function considered for the lower level is the minimization of overall payment faced by the consumers. Using the Karush-Kuhn-Tucker complementarity constraints, the proposed bi-level model is recast as a mixed-integer linear programming problem, which is solvable using efficient off-the-shelf branch-and-cut solvers. Detailed results from an insular case study (La Graciosa, Canary Islands, Spain) are presented.","author":[{"dropping-particle":"","family":"Asensio","given":"Miguel","non-dropping-particle":"","parse-names":false,"suffix":""},{"dropping-particle":"","family":"Muñoz-Delgado","given":"Gregorio","non-dropping-particle":"","parse-names":false,"suffix":""},{"dropping-particle":"","family":"Contreras","given":"Javier","non-dropping-particle":"","parse-names":false,"suffix":""}],"container-title":"IEEE Transactions on Power Systems","id":"ITEM-1","issued":{"date-parts":[["2017"]]},"title":"Bi-level approach to distribution network and renewable energy expansion planning considering demand response","type":"article-journal"},"uris":["http://www.mendeley.com/documents/?uuid=ea89ffdb-8941-450f-88a5-72b166b8251a","http://www.mendeley.com/documents/?uuid=da049440-9414-4940-bd92-0d70e26ccb7a"]}],"mendeley":{"formattedCitation":"(Asensio et al., 2017)","manualFormatting":"Asensio et al. (2017)","plainTextFormattedCitation":"(Asensio et al., 2017)","previouslyFormattedCitation":"(Asensio et al., 2017)"},"properties":{"noteIndex":0},"schema":"https://github.com/citation-style-language/schema/raw/master/csl-citation.json"}</w:instrText>
      </w:r>
      <w:r w:rsidRPr="00A72198">
        <w:rPr>
          <w:sz w:val="20"/>
        </w:rPr>
        <w:fldChar w:fldCharType="separate"/>
      </w:r>
      <w:r w:rsidRPr="00A72198">
        <w:rPr>
          <w:noProof/>
          <w:sz w:val="20"/>
        </w:rPr>
        <w:t>Asensio et al. (2017)</w:t>
      </w:r>
      <w:r w:rsidRPr="00A72198">
        <w:rPr>
          <w:sz w:val="20"/>
        </w:rPr>
        <w:fldChar w:fldCharType="end"/>
      </w:r>
      <w:r w:rsidRPr="00A72198">
        <w:rPr>
          <w:sz w:val="20"/>
        </w:rPr>
        <w:t>, do not consider the interaction with network tariffs. To the best of our knowledge, no prior work has been developed to analyse this relationship. In this paper, we model both to study this interaction in order to fill this gap in the literature.</w:t>
      </w:r>
    </w:p>
    <w:p w14:paraId="0C9B7481" w14:textId="77777777" w:rsidR="00A72198" w:rsidRPr="00A72198" w:rsidRDefault="00A72198" w:rsidP="00A72198">
      <w:pPr>
        <w:pStyle w:val="BodyText"/>
        <w:jc w:val="both"/>
        <w:rPr>
          <w:sz w:val="20"/>
        </w:rPr>
      </w:pPr>
    </w:p>
    <w:p w14:paraId="252C2003" w14:textId="2ABA7200" w:rsidR="00A72198" w:rsidRPr="00A72198" w:rsidRDefault="00A72198" w:rsidP="00A72198">
      <w:pPr>
        <w:pStyle w:val="BodyText"/>
        <w:jc w:val="both"/>
        <w:rPr>
          <w:sz w:val="20"/>
        </w:rPr>
      </w:pPr>
      <w:r w:rsidRPr="00A72198">
        <w:rPr>
          <w:sz w:val="20"/>
        </w:rPr>
        <w:t xml:space="preserve">The second contribution of this paper is on the level of compensation for explicit demand-side flexibility. Many studies focus on the level of compensation for supply-side flexibility but we are not aware of a similar study on demand-side flexibility. </w:t>
      </w:r>
      <w:r w:rsidRPr="00A72198">
        <w:rPr>
          <w:sz w:val="20"/>
        </w:rPr>
        <w:fldChar w:fldCharType="begin" w:fldLock="1"/>
      </w:r>
      <w:r w:rsidR="00677283">
        <w:rPr>
          <w:sz w:val="20"/>
        </w:rPr>
        <w:instrText>ADDIN CSL_CITATION {"citationItems":[{"id":"ITEM-1","itemData":{"author":[{"dropping-particle":"","family":"CEER","given":"","non-dropping-particle":"","parse-names":false,"suffix":""}],"id":"ITEM-1","issued":{"date-parts":[["2020"]]},"title":"DSO Procedures of Procurement of Flexibility","type":"report"},"uris":["http://www.mendeley.com/documents/?uuid=f95dd710-eb8e-40bc-b2cc-d917c26fae2d","http://www.mendeley.com/documents/?uuid=fbe93a09-db40-4ef2-8be3-ba607f110196"]}],"mendeley":{"formattedCitation":"(CEER, 2020)","manualFormatting":"CEER (2020)","plainTextFormattedCitation":"(CEER, 2020)","previouslyFormattedCitation":"(CEER, 2020)"},"properties":{"noteIndex":0},"schema":"https://github.com/citation-style-language/schema/raw/master/csl-citation.json"}</w:instrText>
      </w:r>
      <w:r w:rsidRPr="00A72198">
        <w:rPr>
          <w:sz w:val="20"/>
        </w:rPr>
        <w:fldChar w:fldCharType="separate"/>
      </w:r>
      <w:r w:rsidRPr="00A72198">
        <w:rPr>
          <w:noProof/>
          <w:sz w:val="20"/>
        </w:rPr>
        <w:t>CEER (2020)</w:t>
      </w:r>
      <w:r w:rsidRPr="00A72198">
        <w:rPr>
          <w:sz w:val="20"/>
        </w:rPr>
        <w:fldChar w:fldCharType="end"/>
      </w:r>
      <w:r w:rsidRPr="00A72198">
        <w:rPr>
          <w:sz w:val="20"/>
        </w:rPr>
        <w:t xml:space="preserve"> highlights the importance of investigating administrative approaches for DSO’s access to flexibility, especially in case of efficiency or market failure of market based approaches.</w:t>
      </w:r>
    </w:p>
    <w:p w14:paraId="78CE445B" w14:textId="77777777" w:rsidR="00DC69F1" w:rsidRPr="00D767DA" w:rsidRDefault="00DC69F1">
      <w:pPr>
        <w:pStyle w:val="Heading2"/>
        <w:rPr>
          <w:i w:val="0"/>
          <w:sz w:val="24"/>
          <w:szCs w:val="24"/>
        </w:rPr>
      </w:pPr>
      <w:r w:rsidRPr="00D767DA">
        <w:rPr>
          <w:i w:val="0"/>
          <w:sz w:val="24"/>
          <w:szCs w:val="24"/>
        </w:rPr>
        <w:t>Methods</w:t>
      </w:r>
    </w:p>
    <w:p w14:paraId="06F78A72" w14:textId="7FC057B6" w:rsidR="00A72198" w:rsidRDefault="00812040" w:rsidP="00A72198">
      <w:pPr>
        <w:pStyle w:val="BodyText"/>
        <w:jc w:val="both"/>
        <w:rPr>
          <w:sz w:val="20"/>
        </w:rPr>
      </w:pPr>
      <w:r w:rsidRPr="00A72198">
        <w:rPr>
          <w:sz w:val="20"/>
        </w:rPr>
        <w:t xml:space="preserve">Our stylized model has a Stackelberg game structure. It is formulated as a Mathematical Program with Equilibrium Constraints (MPEC), using </w:t>
      </w:r>
      <w:proofErr w:type="spellStart"/>
      <w:r w:rsidRPr="00A72198">
        <w:rPr>
          <w:sz w:val="20"/>
        </w:rPr>
        <w:t>Karush</w:t>
      </w:r>
      <w:proofErr w:type="spellEnd"/>
      <w:r w:rsidRPr="00A72198">
        <w:rPr>
          <w:sz w:val="20"/>
        </w:rPr>
        <w:t>–Kuhn–Tucker (KKT) optimality conditions. The model has the so-called bi-level structure.</w:t>
      </w:r>
      <w:r w:rsidR="00A72198">
        <w:rPr>
          <w:sz w:val="20"/>
        </w:rPr>
        <w:t xml:space="preserve"> </w:t>
      </w:r>
      <w:r w:rsidR="00A72198" w:rsidRPr="00A72198">
        <w:rPr>
          <w:sz w:val="20"/>
        </w:rPr>
        <w:t xml:space="preserve">The upper level (UL) is a regulated DSO optimizes the social welfare deciding on the network investment and/or curtailing consumers as well as setting the network charge level to recover network and flexibility costs. The lower level (LL) consists of consumers, which can be prosumers or passive consumers, that maximize their own welfare. </w:t>
      </w:r>
      <w:bookmarkStart w:id="3" w:name="_Hlk61475145"/>
      <w:r w:rsidR="00A72198" w:rsidRPr="00A72198">
        <w:rPr>
          <w:sz w:val="20"/>
        </w:rPr>
        <w:t>Prosumers can invest in solar PV and battery systems. They react to the network tariffs and to the compensation provided by the DSO for curtailing them</w:t>
      </w:r>
      <w:bookmarkEnd w:id="3"/>
      <w:r w:rsidR="00A72198" w:rsidRPr="00A72198">
        <w:rPr>
          <w:sz w:val="20"/>
        </w:rPr>
        <w:t xml:space="preserve">. The regulated DSO anticipates the reaction of the consumers when investing in the network and when setting the level of curtailment of passive consumers and prosumers. </w:t>
      </w:r>
    </w:p>
    <w:p w14:paraId="10F1D9FB" w14:textId="77777777" w:rsidR="00A72198" w:rsidRPr="00A72198" w:rsidRDefault="00A72198" w:rsidP="00A72198">
      <w:pPr>
        <w:pStyle w:val="BodyText"/>
        <w:jc w:val="both"/>
        <w:rPr>
          <w:sz w:val="20"/>
        </w:rPr>
      </w:pPr>
    </w:p>
    <w:p w14:paraId="49CA1A83" w14:textId="6186EF62" w:rsidR="00DC69F1" w:rsidRPr="00A72198" w:rsidRDefault="00DC69F1" w:rsidP="00A72198">
      <w:pPr>
        <w:pStyle w:val="BodyText2"/>
        <w:spacing w:after="200"/>
        <w:ind w:firstLine="0"/>
        <w:rPr>
          <w:rFonts w:ascii="Arial" w:hAnsi="Arial"/>
          <w:b/>
          <w:sz w:val="24"/>
          <w:szCs w:val="24"/>
        </w:rPr>
      </w:pPr>
      <w:r w:rsidRPr="00A72198">
        <w:rPr>
          <w:rFonts w:ascii="Arial" w:hAnsi="Arial"/>
          <w:b/>
          <w:sz w:val="24"/>
          <w:szCs w:val="24"/>
        </w:rPr>
        <w:lastRenderedPageBreak/>
        <w:t>Results</w:t>
      </w:r>
    </w:p>
    <w:p w14:paraId="4F50FD11" w14:textId="380784E7" w:rsidR="00A72198" w:rsidRDefault="00601747" w:rsidP="00A72198">
      <w:pPr>
        <w:pStyle w:val="BodyText2"/>
        <w:spacing w:after="200"/>
        <w:ind w:firstLine="0"/>
      </w:pPr>
      <w:r>
        <w:t xml:space="preserve">We consider </w:t>
      </w:r>
      <w:r w:rsidR="0017477C">
        <w:t xml:space="preserve">electricity </w:t>
      </w:r>
      <w:r>
        <w:t xml:space="preserve">demand data </w:t>
      </w:r>
      <w:r w:rsidRPr="00F8417F">
        <w:t>from the 201</w:t>
      </w:r>
      <w:r>
        <w:t>9</w:t>
      </w:r>
      <w:r w:rsidRPr="00F8417F">
        <w:t xml:space="preserve"> Belgian synthetic</w:t>
      </w:r>
      <w:r>
        <w:t xml:space="preserve"> load profil</w:t>
      </w:r>
      <w:r w:rsidRPr="00F8417F">
        <w:t>es (SLPs)</w:t>
      </w:r>
      <w:r w:rsidR="0017477C">
        <w:t xml:space="preserve">. Other data for the case study are based on </w:t>
      </w:r>
      <w:r w:rsidR="0017477C">
        <w:fldChar w:fldCharType="begin" w:fldLock="1"/>
      </w:r>
      <w:r w:rsidR="00677283">
        <w:instrText>ADDIN CSL_CITATION {"citationItems":[{"id":"ITEM-1","itemData":{"DOI":"10.1016/j.eneco.2018.01.028","author":[{"dropping-particle":"","family":"Schittekatte","given":"Tim","non-dropping-particle":"","parse-names":false,"suffix":""},{"dropping-particle":"","family":"Momber","given":"Ilan","non-dropping-particle":"","parse-names":false,"suffix":""},{"dropping-particle":"","family":"Meeus","given":"Leonardo","non-dropping-particle":"","parse-names":false,"suffix":""}],"container-title":"Energy Economics","id":"ITEM-1","issued":{"date-parts":[["2018"]]},"page":"484–498","title":"Future-proof tariff design: recovering sunk grid costs in a world where consumers are pushing back","type":"article-journal","volume":"70"},"uris":["http://www.mendeley.com/documents/?uuid=ade64d13-5731-45f8-bc13-3ca8273323e5"]}],"mendeley":{"formattedCitation":"(Schittekatte et al., 2018)","manualFormatting":"Schittekatte et al. (2018)","plainTextFormattedCitation":"(Schittekatte et al., 2018)","previouslyFormattedCitation":"(Schittekatte et al., 2018)"},"properties":{"noteIndex":0},"schema":"https://github.com/citation-style-language/schema/raw/master/csl-citation.json"}</w:instrText>
      </w:r>
      <w:r w:rsidR="0017477C">
        <w:fldChar w:fldCharType="separate"/>
      </w:r>
      <w:r w:rsidR="0017477C">
        <w:rPr>
          <w:noProof/>
        </w:rPr>
        <w:t>Schittekatte et al.</w:t>
      </w:r>
      <w:r w:rsidR="0017477C" w:rsidRPr="0017477C">
        <w:rPr>
          <w:noProof/>
        </w:rPr>
        <w:t xml:space="preserve"> </w:t>
      </w:r>
      <w:r w:rsidR="0017477C">
        <w:rPr>
          <w:noProof/>
        </w:rPr>
        <w:t>(</w:t>
      </w:r>
      <w:r w:rsidR="0017477C" w:rsidRPr="0017477C">
        <w:rPr>
          <w:noProof/>
        </w:rPr>
        <w:t>2018)</w:t>
      </w:r>
      <w:r w:rsidR="0017477C">
        <w:fldChar w:fldCharType="end"/>
      </w:r>
      <w:r w:rsidR="0017477C">
        <w:t>.</w:t>
      </w:r>
      <w:r w:rsidR="0097442F">
        <w:t xml:space="preserve"> </w:t>
      </w:r>
      <w:r w:rsidR="00A72198">
        <w:t>F</w:t>
      </w:r>
      <w:r w:rsidR="00A72198">
        <w:t>irst</w:t>
      </w:r>
      <w:r w:rsidR="00A72198">
        <w:t>, we</w:t>
      </w:r>
      <w:r w:rsidR="00A72198" w:rsidRPr="004721ED">
        <w:t xml:space="preserve"> present the role of </w:t>
      </w:r>
      <w:r w:rsidR="00677283">
        <w:t xml:space="preserve">explicit </w:t>
      </w:r>
      <w:r w:rsidR="00A72198" w:rsidRPr="004721ED">
        <w:t xml:space="preserve">demand-side flexibility </w:t>
      </w:r>
      <w:r w:rsidR="00A72198">
        <w:t>in</w:t>
      </w:r>
      <w:r w:rsidR="00A72198" w:rsidRPr="004721ED">
        <w:t xml:space="preserve"> sav</w:t>
      </w:r>
      <w:r w:rsidR="00A72198">
        <w:t>ing</w:t>
      </w:r>
      <w:r w:rsidR="00A72198" w:rsidRPr="004721ED">
        <w:t xml:space="preserve"> distribution network investments. We then assess its impact on system welfare in order to find the optimal demand-side flexibility level.</w:t>
      </w:r>
      <w:r w:rsidR="00C244A2">
        <w:t xml:space="preserve"> In the full version of the paper, </w:t>
      </w:r>
      <w:r w:rsidR="00A72198">
        <w:t>w</w:t>
      </w:r>
      <w:r w:rsidR="00A72198" w:rsidRPr="004721ED">
        <w:t>e</w:t>
      </w:r>
      <w:r w:rsidR="00C244A2">
        <w:t xml:space="preserve"> further</w:t>
      </w:r>
      <w:r w:rsidR="00A72198" w:rsidRPr="004721ED">
        <w:t xml:space="preserve"> investigate the impact of network tariffs and explicit demand-side flexibility compensation. Finally, we assess the role of some context-related elements in the demand-side flexibility framework. </w:t>
      </w:r>
    </w:p>
    <w:p w14:paraId="7109614B" w14:textId="7AE6A3BF" w:rsidR="00A72198" w:rsidRPr="004721ED" w:rsidRDefault="00A72198" w:rsidP="00A72198">
      <w:pPr>
        <w:pStyle w:val="Caption"/>
        <w:jc w:val="center"/>
      </w:pPr>
      <w:bookmarkStart w:id="4" w:name="_Ref24476237"/>
      <w:r w:rsidRPr="006A532A">
        <w:t>Figure</w:t>
      </w:r>
      <w:r w:rsidRPr="004721ED">
        <w:t xml:space="preserve"> </w:t>
      </w:r>
      <w:r>
        <w:fldChar w:fldCharType="begin"/>
      </w:r>
      <w:r>
        <w:instrText xml:space="preserve"> SEQ Figure \* ARABIC </w:instrText>
      </w:r>
      <w:r>
        <w:fldChar w:fldCharType="separate"/>
      </w:r>
      <w:r>
        <w:rPr>
          <w:noProof/>
        </w:rPr>
        <w:t>1</w:t>
      </w:r>
      <w:r>
        <w:rPr>
          <w:noProof/>
        </w:rPr>
        <w:fldChar w:fldCharType="end"/>
      </w:r>
      <w:bookmarkEnd w:id="4"/>
      <w:r w:rsidRPr="004721ED">
        <w:t>: Distribution network investment savings</w:t>
      </w:r>
    </w:p>
    <w:p w14:paraId="0FE67E93" w14:textId="4C087AC6" w:rsidR="00A72198" w:rsidRDefault="00A72198" w:rsidP="00A72198">
      <w:pPr>
        <w:jc w:val="center"/>
      </w:pPr>
      <w:r w:rsidRPr="004721ED">
        <w:rPr>
          <w:noProof/>
          <w:lang w:eastAsia="en-GB"/>
        </w:rPr>
        <w:drawing>
          <wp:inline distT="0" distB="0" distL="0" distR="0" wp14:anchorId="19C9714A" wp14:editId="7C5AEDA5">
            <wp:extent cx="5190979" cy="1814732"/>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123F9E" w14:textId="062F193C" w:rsidR="00A72198" w:rsidRDefault="00A72198" w:rsidP="00A72198">
      <w:pPr>
        <w:jc w:val="both"/>
      </w:pPr>
      <w:r>
        <w:t>We find that n</w:t>
      </w:r>
      <w:r w:rsidRPr="004721ED">
        <w:t xml:space="preserve">etwork cost savings increase rapidly for demand flexibility volumes below 6 %, and then the curve </w:t>
      </w:r>
      <w:r>
        <w:t>has</w:t>
      </w:r>
      <w:r w:rsidRPr="004721ED">
        <w:t xml:space="preserve"> a </w:t>
      </w:r>
      <w:r>
        <w:t>less steep</w:t>
      </w:r>
      <w:r w:rsidRPr="004721ED">
        <w:t xml:space="preserve"> incline. We find that</w:t>
      </w:r>
      <w:r>
        <w:t xml:space="preserve"> a</w:t>
      </w:r>
      <w:r w:rsidRPr="004721ED">
        <w:t xml:space="preserve"> 3% level of demand-side flexibility allow</w:t>
      </w:r>
      <w:r>
        <w:t>s</w:t>
      </w:r>
      <w:r w:rsidRPr="004721ED">
        <w:t xml:space="preserve"> 62% of distribution grid investment</w:t>
      </w:r>
      <w:r>
        <w:t xml:space="preserve"> savings and a</w:t>
      </w:r>
      <w:r w:rsidRPr="004721ED">
        <w:t xml:space="preserve"> 5% level allows 75%. </w:t>
      </w:r>
      <w:r>
        <w:t>Then, we</w:t>
      </w:r>
      <w:r w:rsidRPr="004721ED">
        <w:t xml:space="preserve"> extend our analysis to look at the system welfare for different demand-side flexibility levels</w:t>
      </w:r>
      <w:r w:rsidR="00C244A2">
        <w:t>. I</w:t>
      </w:r>
      <w:r w:rsidR="00C244A2" w:rsidRPr="004721ED">
        <w:t xml:space="preserve">n </w:t>
      </w:r>
      <w:r w:rsidR="00C244A2">
        <w:fldChar w:fldCharType="begin"/>
      </w:r>
      <w:r w:rsidR="00C244A2">
        <w:instrText xml:space="preserve"> REF _Ref24542206 \h </w:instrText>
      </w:r>
      <w:r w:rsidR="00C244A2">
        <w:instrText xml:space="preserve"> \* MERGEFORMAT </w:instrText>
      </w:r>
      <w:r w:rsidR="00C244A2">
        <w:fldChar w:fldCharType="separate"/>
      </w:r>
      <w:r w:rsidR="00C244A2" w:rsidRPr="006E2A08">
        <w:t xml:space="preserve">Figure </w:t>
      </w:r>
      <w:r w:rsidR="00C244A2">
        <w:t>2</w:t>
      </w:r>
      <w:r w:rsidR="00C244A2">
        <w:fldChar w:fldCharType="end"/>
      </w:r>
      <w:r w:rsidR="00C244A2">
        <w:t>,</w:t>
      </w:r>
      <w:r w:rsidR="00C244A2">
        <w:t xml:space="preserve"> </w:t>
      </w:r>
      <w:r w:rsidR="00C244A2" w:rsidRPr="004721ED">
        <w:t>we integrate</w:t>
      </w:r>
      <w:r w:rsidR="00C244A2">
        <w:t xml:space="preserve"> </w:t>
      </w:r>
      <w:r w:rsidR="00C244A2" w:rsidRPr="004721ED">
        <w:t>the different demand-side flexibility levels in steps and then plot the system welfare levels. We find that for low levels of demand-side flexibility from 0% to 2% there is an increase in system welfare as demand-side flexibility increases. F</w:t>
      </w:r>
      <w:r w:rsidR="00C244A2">
        <w:t>ro</w:t>
      </w:r>
      <w:r w:rsidR="00C244A2" w:rsidRPr="004721ED">
        <w:t xml:space="preserve">m 2% onwards, the system welfare starts to decrease. This means that the optimal demand-side flexibility level is between 1% and 3%. </w:t>
      </w:r>
      <w:r w:rsidR="00C244A2">
        <w:t>W</w:t>
      </w:r>
      <w:r w:rsidR="00C244A2" w:rsidRPr="004721ED">
        <w:t>e</w:t>
      </w:r>
      <w:r w:rsidR="00C244A2">
        <w:t xml:space="preserve"> then</w:t>
      </w:r>
      <w:r w:rsidR="00C244A2" w:rsidRPr="004721ED">
        <w:t xml:space="preserve"> allow the model to decide on the optimal demand-side flexibility level. For the reference scenario, this result</w:t>
      </w:r>
      <w:r w:rsidR="00C244A2">
        <w:t>s</w:t>
      </w:r>
      <w:r w:rsidR="00C244A2" w:rsidRPr="004721ED">
        <w:t xml:space="preserve"> in an optimal level of 1.48% demand-side flexibility and €23,816</w:t>
      </w:r>
      <w:r w:rsidR="00C244A2">
        <w:t xml:space="preserve"> </w:t>
      </w:r>
      <w:r w:rsidR="00C244A2" w:rsidRPr="004721ED">
        <w:t xml:space="preserve">system welfare, normalised </w:t>
      </w:r>
      <w:r w:rsidR="00C244A2">
        <w:t>to the</w:t>
      </w:r>
      <w:r w:rsidR="00C244A2" w:rsidRPr="004721ED">
        <w:t xml:space="preserve"> (average) consumer</w:t>
      </w:r>
      <w:r w:rsidR="00C244A2">
        <w:t>.</w:t>
      </w:r>
    </w:p>
    <w:p w14:paraId="3A57D97F" w14:textId="77777777" w:rsidR="00A72198" w:rsidRDefault="00A72198" w:rsidP="00A72198">
      <w:pPr>
        <w:jc w:val="both"/>
      </w:pPr>
    </w:p>
    <w:p w14:paraId="169A5641" w14:textId="5B729EFD" w:rsidR="00A72198" w:rsidRPr="006E2A08" w:rsidRDefault="00A72198" w:rsidP="00C244A2">
      <w:pPr>
        <w:pStyle w:val="Caption"/>
        <w:jc w:val="center"/>
      </w:pPr>
      <w:bookmarkStart w:id="5" w:name="_Ref24542206"/>
      <w:r w:rsidRPr="006E2A08">
        <w:t xml:space="preserve">Figure </w:t>
      </w:r>
      <w:r>
        <w:fldChar w:fldCharType="begin"/>
      </w:r>
      <w:r>
        <w:instrText xml:space="preserve"> SEQ Figure \* ARABIC </w:instrText>
      </w:r>
      <w:r>
        <w:fldChar w:fldCharType="separate"/>
      </w:r>
      <w:r>
        <w:rPr>
          <w:noProof/>
        </w:rPr>
        <w:t>2</w:t>
      </w:r>
      <w:r>
        <w:rPr>
          <w:noProof/>
        </w:rPr>
        <w:fldChar w:fldCharType="end"/>
      </w:r>
      <w:bookmarkEnd w:id="5"/>
      <w:r w:rsidRPr="006E2A08">
        <w:t>: System welfare for different demand-side flexibility levels</w:t>
      </w:r>
    </w:p>
    <w:p w14:paraId="39EBC44B" w14:textId="77777777" w:rsidR="00A72198" w:rsidRPr="004721ED" w:rsidRDefault="00A72198" w:rsidP="00A72198">
      <w:pPr>
        <w:jc w:val="center"/>
      </w:pPr>
      <w:r w:rsidRPr="004721ED">
        <w:rPr>
          <w:noProof/>
          <w:lang w:eastAsia="en-GB"/>
        </w:rPr>
        <w:drawing>
          <wp:inline distT="0" distB="0" distL="0" distR="0" wp14:anchorId="24D6526E" wp14:editId="7267E2C3">
            <wp:extent cx="4972929" cy="210312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FE08FE" w14:textId="77777777" w:rsidR="00DC69F1" w:rsidRPr="00D767DA" w:rsidRDefault="00DC69F1">
      <w:pPr>
        <w:pStyle w:val="Heading2"/>
        <w:jc w:val="both"/>
        <w:rPr>
          <w:i w:val="0"/>
          <w:sz w:val="24"/>
          <w:szCs w:val="24"/>
        </w:rPr>
      </w:pPr>
      <w:r w:rsidRPr="00D767DA">
        <w:rPr>
          <w:i w:val="0"/>
          <w:sz w:val="24"/>
          <w:szCs w:val="24"/>
        </w:rPr>
        <w:t>Conclusions</w:t>
      </w:r>
    </w:p>
    <w:p w14:paraId="677441E1" w14:textId="16D14FCC" w:rsidR="00677283" w:rsidRDefault="00677283" w:rsidP="0028254D">
      <w:pPr>
        <w:pStyle w:val="BodyText2"/>
        <w:spacing w:after="200"/>
        <w:ind w:firstLine="0"/>
      </w:pPr>
      <w:r>
        <w:t>In this paper we highlight the potential of explicit demand-side flexibility in realizing distribution grid investments savings and increasing system welfare.</w:t>
      </w:r>
      <w:r w:rsidRPr="00677283">
        <w:t xml:space="preserve"> </w:t>
      </w:r>
      <w:r>
        <w:t>Besides, w</w:t>
      </w:r>
      <w:r w:rsidRPr="004721ED">
        <w:t>e found that th</w:t>
      </w:r>
      <w:r>
        <w:t xml:space="preserve">e </w:t>
      </w:r>
      <w:r w:rsidRPr="004721ED">
        <w:t>interaction</w:t>
      </w:r>
      <w:r>
        <w:t xml:space="preserve"> between implicit and explicit</w:t>
      </w:r>
      <w:r w:rsidRPr="004721ED">
        <w:t xml:space="preserve"> strongly depends on the </w:t>
      </w:r>
      <w:r>
        <w:t>design</w:t>
      </w:r>
      <w:r w:rsidRPr="004721ED">
        <w:t xml:space="preserve"> of network tariffs. </w:t>
      </w:r>
      <w:r>
        <w:t>If network tariffs are somewhat cost-reflective</w:t>
      </w:r>
      <w:r>
        <w:t>,</w:t>
      </w:r>
      <w:r w:rsidR="00EB5CCD" w:rsidRPr="0028254D">
        <w:t xml:space="preserve"> </w:t>
      </w:r>
      <w:r>
        <w:t>the explicit demand-side flexibility results in higher welfare gains for the system. P</w:t>
      </w:r>
      <w:r w:rsidRPr="004721ED">
        <w:t xml:space="preserve">rosumer investments </w:t>
      </w:r>
      <w:r>
        <w:t>in</w:t>
      </w:r>
      <w:r w:rsidRPr="004721ED">
        <w:t xml:space="preserve"> PV and batteries already consider the cost of network investments.</w:t>
      </w:r>
      <w:r>
        <w:t xml:space="preserve"> Then, e</w:t>
      </w:r>
      <w:r w:rsidRPr="004721ED">
        <w:t xml:space="preserve">xplicit demand-side flexibility is </w:t>
      </w:r>
      <w:r>
        <w:t xml:space="preserve">mainly </w:t>
      </w:r>
      <w:r w:rsidRPr="004721ED">
        <w:t>used to target passive consumers that do not respond to tariffs.</w:t>
      </w:r>
      <w:r>
        <w:t xml:space="preserve"> Furthermore, we </w:t>
      </w:r>
      <w:r w:rsidRPr="004721ED">
        <w:t xml:space="preserve">found that it is very difficult to set an appropriate level of compensation in a context with prosumers and passive consumers. </w:t>
      </w:r>
      <w:r>
        <w:t xml:space="preserve">In case of a low compensation, </w:t>
      </w:r>
      <w:r w:rsidRPr="004721ED">
        <w:t>passive consumers are only partly compensated for their loss.</w:t>
      </w:r>
      <w:r>
        <w:t xml:space="preserve"> In case of a high compensation, prosumers may game it. Finally, we perform sensitivity analysis to assess how the different context-related parameters impact the potential of demand-side flexibility.</w:t>
      </w:r>
    </w:p>
    <w:p w14:paraId="26E0175A" w14:textId="687C8C83" w:rsidR="00DC69F1" w:rsidRPr="00EE7E14" w:rsidRDefault="00DC69F1">
      <w:pPr>
        <w:pStyle w:val="Heading2"/>
        <w:rPr>
          <w:i w:val="0"/>
          <w:sz w:val="24"/>
          <w:szCs w:val="24"/>
          <w:lang w:val="de-DE"/>
        </w:rPr>
      </w:pPr>
      <w:r w:rsidRPr="00EE7E14">
        <w:rPr>
          <w:i w:val="0"/>
          <w:sz w:val="24"/>
          <w:szCs w:val="24"/>
          <w:lang w:val="de-DE"/>
        </w:rPr>
        <w:lastRenderedPageBreak/>
        <w:t>References</w:t>
      </w:r>
    </w:p>
    <w:p w14:paraId="29DE3C03" w14:textId="4EB97DB6" w:rsidR="00677283" w:rsidRPr="00677283" w:rsidRDefault="00677283" w:rsidP="00677283">
      <w:pPr>
        <w:widowControl w:val="0"/>
        <w:autoSpaceDE w:val="0"/>
        <w:autoSpaceDN w:val="0"/>
        <w:adjustRightInd w:val="0"/>
        <w:spacing w:after="80"/>
        <w:ind w:left="480" w:hanging="480"/>
        <w:rPr>
          <w:noProof/>
          <w:szCs w:val="24"/>
        </w:rPr>
      </w:pPr>
      <w:r>
        <w:fldChar w:fldCharType="begin" w:fldLock="1"/>
      </w:r>
      <w:r>
        <w:instrText xml:space="preserve">ADDIN Mendeley Bibliography CSL_BIBLIOGRAPHY </w:instrText>
      </w:r>
      <w:r>
        <w:fldChar w:fldCharType="separate"/>
      </w:r>
      <w:r w:rsidRPr="00677283">
        <w:rPr>
          <w:noProof/>
          <w:szCs w:val="24"/>
        </w:rPr>
        <w:t>Abdelmotteleb, I., Gómez, T., Chaves Ávila, J.P., Reneses, J., 2018. Designing efficient distribution network charges in the context of active customers. Appl. Energy. https://doi.org/10.1016/j.apenergy.2017.08.103</w:t>
      </w:r>
    </w:p>
    <w:p w14:paraId="4DB1036D"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Asensio, M., Muñoz-Delgado, G., Contreras, J., 2017. Bi-level approach to distribution network and renewable energy expansion planning considering demand response. IEEE Trans. Power Syst. https://doi.org/10.1109/TPWRS.2017.2672798</w:t>
      </w:r>
    </w:p>
    <w:p w14:paraId="1ADD3940"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BMWi, 2014. “Moderne Verteilernetze für Deutschland.”</w:t>
      </w:r>
    </w:p>
    <w:p w14:paraId="33EA1F1F"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Burger, S.P., Knittel, C.R., Pérez-Arriaga, I.J., Schneider, I., Vom Scheidt, F., 2020. The efficiency and distributional effects of alternative residential electricity rate designs. Energy J. https://doi.org/10.5547/01956574.41.1.sbur</w:t>
      </w:r>
    </w:p>
    <w:p w14:paraId="37B8BE0E"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CE, VVA Europe, 2016. Impact assessment support study on: “Policies for DSOs, Distribution Tariffs and Data Handling.”</w:t>
      </w:r>
    </w:p>
    <w:p w14:paraId="455FF81A"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CEER, 2020. DSO Procedures of Procurement of Flexibility.</w:t>
      </w:r>
    </w:p>
    <w:p w14:paraId="0DBDCF32"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De Villena, M.M., Jacqmin, J., Fonteneau, R., Gautier, A., Ernst, D., 2020. Network tariffs and the integration of prosumers: the Case of Wallonia.</w:t>
      </w:r>
    </w:p>
    <w:p w14:paraId="45C26B29"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ENEDIS, 2017. Valorisation économique des Smart Grids Contribution des gestionnaires de réseau public de distribution.</w:t>
      </w:r>
    </w:p>
    <w:p w14:paraId="4E95CE00"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Klyapovskiy, S., You, S., Michiorri, A., Kariniotakis, G., Bindner, H.W., 2019. Incorporating flexibility options into distribution grid reinforcement planning: A techno-economic framework approach. Appl. Energy. https://doi.org/10.1016/j.apenergy.2019.113662</w:t>
      </w:r>
    </w:p>
    <w:p w14:paraId="640CA220"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Meeus, L., 2020. The evolution of electricity markets in Europe. Edward Elgar Publishing.</w:t>
      </w:r>
    </w:p>
    <w:p w14:paraId="53B49471"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Sarker, M.R., Ortega-Vazquez, M.A., Kirschen, D.S., 2015. Optimal Coordination and Scheduling of Demand Response via Monetary Incentives. IEEE Trans. Smart Grid. https://doi.org/10.1109/TSG.2014.2375067</w:t>
      </w:r>
    </w:p>
    <w:p w14:paraId="51AFA5B1"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Schittekatte, T., Meeus, L., 2020. Least-cost distribution network tariff design in theory and practice. Energy J. 41, 97–133. https://doi.org/10.5547/01956574.41.5.tsch</w:t>
      </w:r>
    </w:p>
    <w:p w14:paraId="5A744DB1" w14:textId="77777777" w:rsidR="00677283" w:rsidRPr="00677283" w:rsidRDefault="00677283" w:rsidP="00677283">
      <w:pPr>
        <w:widowControl w:val="0"/>
        <w:autoSpaceDE w:val="0"/>
        <w:autoSpaceDN w:val="0"/>
        <w:adjustRightInd w:val="0"/>
        <w:spacing w:after="80"/>
        <w:ind w:left="480" w:hanging="480"/>
        <w:rPr>
          <w:noProof/>
          <w:szCs w:val="24"/>
        </w:rPr>
      </w:pPr>
      <w:r w:rsidRPr="00677283">
        <w:rPr>
          <w:noProof/>
          <w:szCs w:val="24"/>
        </w:rPr>
        <w:t>Schittekatte, T., Momber, I., Meeus, L., 2018. Future-proof tariff design: recovering sunk grid costs in a world where consumers are pushing back. Energy Econ. 70, 484–498. https://doi.org/10.1016/j.eneco.2018.01.028</w:t>
      </w:r>
    </w:p>
    <w:p w14:paraId="3AD569B3" w14:textId="77777777" w:rsidR="00677283" w:rsidRPr="00677283" w:rsidRDefault="00677283" w:rsidP="00677283">
      <w:pPr>
        <w:widowControl w:val="0"/>
        <w:autoSpaceDE w:val="0"/>
        <w:autoSpaceDN w:val="0"/>
        <w:adjustRightInd w:val="0"/>
        <w:spacing w:after="80"/>
        <w:ind w:left="480" w:hanging="480"/>
        <w:rPr>
          <w:noProof/>
        </w:rPr>
      </w:pPr>
      <w:r w:rsidRPr="00677283">
        <w:rPr>
          <w:noProof/>
          <w:szCs w:val="24"/>
        </w:rPr>
        <w:t>Spiliotis, K., Ramos Gutierrez, A.I., Belmans, R., 2016. Demand flexibility versus physical network expansions in distribution grids. Appl. Energy. https://doi.org/10.1016/j.apenergy.2016.08.145</w:t>
      </w:r>
    </w:p>
    <w:p w14:paraId="0CCB5753" w14:textId="2B89561E" w:rsidR="00DC69F1" w:rsidRDefault="00677283" w:rsidP="00DE39DF">
      <w:pPr>
        <w:widowControl w:val="0"/>
        <w:autoSpaceDE w:val="0"/>
        <w:autoSpaceDN w:val="0"/>
        <w:adjustRightInd w:val="0"/>
        <w:spacing w:after="80"/>
        <w:ind w:left="482" w:hanging="482"/>
      </w:pPr>
      <w:r>
        <w:fldChar w:fldCharType="end"/>
      </w:r>
    </w:p>
    <w:sectPr w:rsidR="00DC69F1" w:rsidSect="00FC73E0">
      <w:head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B2F0" w14:textId="77777777" w:rsidR="00CF743C" w:rsidRDefault="00CF743C">
      <w:r>
        <w:separator/>
      </w:r>
    </w:p>
  </w:endnote>
  <w:endnote w:type="continuationSeparator" w:id="0">
    <w:p w14:paraId="62B3350C" w14:textId="77777777" w:rsidR="00CF743C" w:rsidRDefault="00CF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73D3" w14:textId="77777777" w:rsidR="00CF743C" w:rsidRDefault="00CF743C">
      <w:r>
        <w:separator/>
      </w:r>
    </w:p>
  </w:footnote>
  <w:footnote w:type="continuationSeparator" w:id="0">
    <w:p w14:paraId="005E1939" w14:textId="77777777" w:rsidR="00CF743C" w:rsidRDefault="00CF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83E8" w14:textId="77777777" w:rsidR="00723164" w:rsidRDefault="00723164"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6840C8E">
      <w:start w:val="1"/>
      <w:numFmt w:val="bullet"/>
      <w:lvlText w:val=""/>
      <w:lvlJc w:val="left"/>
      <w:pPr>
        <w:tabs>
          <w:tab w:val="num" w:pos="720"/>
        </w:tabs>
        <w:ind w:left="720" w:hanging="360"/>
      </w:pPr>
      <w:rPr>
        <w:rFonts w:ascii="Symbol" w:hAnsi="Symbol" w:hint="default"/>
      </w:rPr>
    </w:lvl>
    <w:lvl w:ilvl="1" w:tplc="FCB41ED6">
      <w:start w:val="1"/>
      <w:numFmt w:val="bullet"/>
      <w:lvlText w:val="o"/>
      <w:lvlJc w:val="left"/>
      <w:pPr>
        <w:tabs>
          <w:tab w:val="num" w:pos="1440"/>
        </w:tabs>
        <w:ind w:left="1440" w:hanging="360"/>
      </w:pPr>
      <w:rPr>
        <w:rFonts w:ascii="Courier New" w:hAnsi="Courier New" w:hint="default"/>
      </w:rPr>
    </w:lvl>
    <w:lvl w:ilvl="2" w:tplc="51AC9D70" w:tentative="1">
      <w:start w:val="1"/>
      <w:numFmt w:val="bullet"/>
      <w:lvlText w:val=""/>
      <w:lvlJc w:val="left"/>
      <w:pPr>
        <w:tabs>
          <w:tab w:val="num" w:pos="2160"/>
        </w:tabs>
        <w:ind w:left="2160" w:hanging="360"/>
      </w:pPr>
      <w:rPr>
        <w:rFonts w:ascii="Wingdings" w:hAnsi="Wingdings" w:hint="default"/>
      </w:rPr>
    </w:lvl>
    <w:lvl w:ilvl="3" w:tplc="7D4E8252" w:tentative="1">
      <w:start w:val="1"/>
      <w:numFmt w:val="bullet"/>
      <w:lvlText w:val=""/>
      <w:lvlJc w:val="left"/>
      <w:pPr>
        <w:tabs>
          <w:tab w:val="num" w:pos="2880"/>
        </w:tabs>
        <w:ind w:left="2880" w:hanging="360"/>
      </w:pPr>
      <w:rPr>
        <w:rFonts w:ascii="Symbol" w:hAnsi="Symbol" w:hint="default"/>
      </w:rPr>
    </w:lvl>
    <w:lvl w:ilvl="4" w:tplc="1D5CC92C" w:tentative="1">
      <w:start w:val="1"/>
      <w:numFmt w:val="bullet"/>
      <w:lvlText w:val="o"/>
      <w:lvlJc w:val="left"/>
      <w:pPr>
        <w:tabs>
          <w:tab w:val="num" w:pos="3600"/>
        </w:tabs>
        <w:ind w:left="3600" w:hanging="360"/>
      </w:pPr>
      <w:rPr>
        <w:rFonts w:ascii="Courier New" w:hAnsi="Courier New" w:hint="default"/>
      </w:rPr>
    </w:lvl>
    <w:lvl w:ilvl="5" w:tplc="0F6606DC" w:tentative="1">
      <w:start w:val="1"/>
      <w:numFmt w:val="bullet"/>
      <w:lvlText w:val=""/>
      <w:lvlJc w:val="left"/>
      <w:pPr>
        <w:tabs>
          <w:tab w:val="num" w:pos="4320"/>
        </w:tabs>
        <w:ind w:left="4320" w:hanging="360"/>
      </w:pPr>
      <w:rPr>
        <w:rFonts w:ascii="Wingdings" w:hAnsi="Wingdings" w:hint="default"/>
      </w:rPr>
    </w:lvl>
    <w:lvl w:ilvl="6" w:tplc="6C6259E0" w:tentative="1">
      <w:start w:val="1"/>
      <w:numFmt w:val="bullet"/>
      <w:lvlText w:val=""/>
      <w:lvlJc w:val="left"/>
      <w:pPr>
        <w:tabs>
          <w:tab w:val="num" w:pos="5040"/>
        </w:tabs>
        <w:ind w:left="5040" w:hanging="360"/>
      </w:pPr>
      <w:rPr>
        <w:rFonts w:ascii="Symbol" w:hAnsi="Symbol" w:hint="default"/>
      </w:rPr>
    </w:lvl>
    <w:lvl w:ilvl="7" w:tplc="4BA8DD36" w:tentative="1">
      <w:start w:val="1"/>
      <w:numFmt w:val="bullet"/>
      <w:lvlText w:val="o"/>
      <w:lvlJc w:val="left"/>
      <w:pPr>
        <w:tabs>
          <w:tab w:val="num" w:pos="5760"/>
        </w:tabs>
        <w:ind w:left="5760" w:hanging="360"/>
      </w:pPr>
      <w:rPr>
        <w:rFonts w:ascii="Courier New" w:hAnsi="Courier New" w:hint="default"/>
      </w:rPr>
    </w:lvl>
    <w:lvl w:ilvl="8" w:tplc="F676AB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7B26ED12">
      <w:start w:val="1"/>
      <w:numFmt w:val="lowerRoman"/>
      <w:lvlText w:val="%1.)"/>
      <w:lvlJc w:val="left"/>
      <w:pPr>
        <w:tabs>
          <w:tab w:val="num" w:pos="540"/>
        </w:tabs>
        <w:ind w:left="255" w:hanging="435"/>
      </w:pPr>
      <w:rPr>
        <w:rFonts w:hint="default"/>
      </w:rPr>
    </w:lvl>
    <w:lvl w:ilvl="1" w:tplc="80A84CDC" w:tentative="1">
      <w:start w:val="1"/>
      <w:numFmt w:val="lowerLetter"/>
      <w:lvlText w:val="%2."/>
      <w:lvlJc w:val="left"/>
      <w:pPr>
        <w:tabs>
          <w:tab w:val="num" w:pos="1260"/>
        </w:tabs>
        <w:ind w:left="1260" w:hanging="360"/>
      </w:pPr>
    </w:lvl>
    <w:lvl w:ilvl="2" w:tplc="03C87912" w:tentative="1">
      <w:start w:val="1"/>
      <w:numFmt w:val="lowerRoman"/>
      <w:lvlText w:val="%3."/>
      <w:lvlJc w:val="right"/>
      <w:pPr>
        <w:tabs>
          <w:tab w:val="num" w:pos="1980"/>
        </w:tabs>
        <w:ind w:left="1980" w:hanging="180"/>
      </w:pPr>
    </w:lvl>
    <w:lvl w:ilvl="3" w:tplc="2E34DA88" w:tentative="1">
      <w:start w:val="1"/>
      <w:numFmt w:val="decimal"/>
      <w:lvlText w:val="%4."/>
      <w:lvlJc w:val="left"/>
      <w:pPr>
        <w:tabs>
          <w:tab w:val="num" w:pos="2700"/>
        </w:tabs>
        <w:ind w:left="2700" w:hanging="360"/>
      </w:pPr>
    </w:lvl>
    <w:lvl w:ilvl="4" w:tplc="1B2CCAF6" w:tentative="1">
      <w:start w:val="1"/>
      <w:numFmt w:val="lowerLetter"/>
      <w:lvlText w:val="%5."/>
      <w:lvlJc w:val="left"/>
      <w:pPr>
        <w:tabs>
          <w:tab w:val="num" w:pos="3420"/>
        </w:tabs>
        <w:ind w:left="3420" w:hanging="360"/>
      </w:pPr>
    </w:lvl>
    <w:lvl w:ilvl="5" w:tplc="D584CB0A" w:tentative="1">
      <w:start w:val="1"/>
      <w:numFmt w:val="lowerRoman"/>
      <w:lvlText w:val="%6."/>
      <w:lvlJc w:val="right"/>
      <w:pPr>
        <w:tabs>
          <w:tab w:val="num" w:pos="4140"/>
        </w:tabs>
        <w:ind w:left="4140" w:hanging="180"/>
      </w:pPr>
    </w:lvl>
    <w:lvl w:ilvl="6" w:tplc="E1D66100" w:tentative="1">
      <w:start w:val="1"/>
      <w:numFmt w:val="decimal"/>
      <w:lvlText w:val="%7."/>
      <w:lvlJc w:val="left"/>
      <w:pPr>
        <w:tabs>
          <w:tab w:val="num" w:pos="4860"/>
        </w:tabs>
        <w:ind w:left="4860" w:hanging="360"/>
      </w:pPr>
    </w:lvl>
    <w:lvl w:ilvl="7" w:tplc="910843F8" w:tentative="1">
      <w:start w:val="1"/>
      <w:numFmt w:val="lowerLetter"/>
      <w:lvlText w:val="%8."/>
      <w:lvlJc w:val="left"/>
      <w:pPr>
        <w:tabs>
          <w:tab w:val="num" w:pos="5580"/>
        </w:tabs>
        <w:ind w:left="5580" w:hanging="360"/>
      </w:pPr>
    </w:lvl>
    <w:lvl w:ilvl="8" w:tplc="CD80607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D90BD56">
      <w:start w:val="1"/>
      <w:numFmt w:val="bullet"/>
      <w:lvlText w:val=""/>
      <w:lvlJc w:val="left"/>
      <w:pPr>
        <w:tabs>
          <w:tab w:val="num" w:pos="720"/>
        </w:tabs>
        <w:ind w:left="720" w:hanging="360"/>
      </w:pPr>
      <w:rPr>
        <w:rFonts w:ascii="Symbol" w:hAnsi="Symbol" w:hint="default"/>
      </w:rPr>
    </w:lvl>
    <w:lvl w:ilvl="1" w:tplc="2ABCD334" w:tentative="1">
      <w:start w:val="1"/>
      <w:numFmt w:val="bullet"/>
      <w:lvlText w:val="o"/>
      <w:lvlJc w:val="left"/>
      <w:pPr>
        <w:tabs>
          <w:tab w:val="num" w:pos="1440"/>
        </w:tabs>
        <w:ind w:left="1440" w:hanging="360"/>
      </w:pPr>
      <w:rPr>
        <w:rFonts w:ascii="Courier New" w:hAnsi="Courier New" w:hint="default"/>
      </w:rPr>
    </w:lvl>
    <w:lvl w:ilvl="2" w:tplc="32E27206" w:tentative="1">
      <w:start w:val="1"/>
      <w:numFmt w:val="bullet"/>
      <w:lvlText w:val=""/>
      <w:lvlJc w:val="left"/>
      <w:pPr>
        <w:tabs>
          <w:tab w:val="num" w:pos="2160"/>
        </w:tabs>
        <w:ind w:left="2160" w:hanging="360"/>
      </w:pPr>
      <w:rPr>
        <w:rFonts w:ascii="Wingdings" w:hAnsi="Wingdings" w:hint="default"/>
      </w:rPr>
    </w:lvl>
    <w:lvl w:ilvl="3" w:tplc="A8FC35D4" w:tentative="1">
      <w:start w:val="1"/>
      <w:numFmt w:val="bullet"/>
      <w:lvlText w:val=""/>
      <w:lvlJc w:val="left"/>
      <w:pPr>
        <w:tabs>
          <w:tab w:val="num" w:pos="2880"/>
        </w:tabs>
        <w:ind w:left="2880" w:hanging="360"/>
      </w:pPr>
      <w:rPr>
        <w:rFonts w:ascii="Symbol" w:hAnsi="Symbol" w:hint="default"/>
      </w:rPr>
    </w:lvl>
    <w:lvl w:ilvl="4" w:tplc="8E08499A" w:tentative="1">
      <w:start w:val="1"/>
      <w:numFmt w:val="bullet"/>
      <w:lvlText w:val="o"/>
      <w:lvlJc w:val="left"/>
      <w:pPr>
        <w:tabs>
          <w:tab w:val="num" w:pos="3600"/>
        </w:tabs>
        <w:ind w:left="3600" w:hanging="360"/>
      </w:pPr>
      <w:rPr>
        <w:rFonts w:ascii="Courier New" w:hAnsi="Courier New" w:hint="default"/>
      </w:rPr>
    </w:lvl>
    <w:lvl w:ilvl="5" w:tplc="254410F6" w:tentative="1">
      <w:start w:val="1"/>
      <w:numFmt w:val="bullet"/>
      <w:lvlText w:val=""/>
      <w:lvlJc w:val="left"/>
      <w:pPr>
        <w:tabs>
          <w:tab w:val="num" w:pos="4320"/>
        </w:tabs>
        <w:ind w:left="4320" w:hanging="360"/>
      </w:pPr>
      <w:rPr>
        <w:rFonts w:ascii="Wingdings" w:hAnsi="Wingdings" w:hint="default"/>
      </w:rPr>
    </w:lvl>
    <w:lvl w:ilvl="6" w:tplc="F6164E5A" w:tentative="1">
      <w:start w:val="1"/>
      <w:numFmt w:val="bullet"/>
      <w:lvlText w:val=""/>
      <w:lvlJc w:val="left"/>
      <w:pPr>
        <w:tabs>
          <w:tab w:val="num" w:pos="5040"/>
        </w:tabs>
        <w:ind w:left="5040" w:hanging="360"/>
      </w:pPr>
      <w:rPr>
        <w:rFonts w:ascii="Symbol" w:hAnsi="Symbol" w:hint="default"/>
      </w:rPr>
    </w:lvl>
    <w:lvl w:ilvl="7" w:tplc="48E84E66" w:tentative="1">
      <w:start w:val="1"/>
      <w:numFmt w:val="bullet"/>
      <w:lvlText w:val="o"/>
      <w:lvlJc w:val="left"/>
      <w:pPr>
        <w:tabs>
          <w:tab w:val="num" w:pos="5760"/>
        </w:tabs>
        <w:ind w:left="5760" w:hanging="360"/>
      </w:pPr>
      <w:rPr>
        <w:rFonts w:ascii="Courier New" w:hAnsi="Courier New" w:hint="default"/>
      </w:rPr>
    </w:lvl>
    <w:lvl w:ilvl="8" w:tplc="03949C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1AA39C4">
      <w:start w:val="1"/>
      <w:numFmt w:val="lowerRoman"/>
      <w:lvlText w:val="%1.)"/>
      <w:lvlJc w:val="left"/>
      <w:pPr>
        <w:tabs>
          <w:tab w:val="num" w:pos="720"/>
        </w:tabs>
        <w:ind w:left="435" w:hanging="435"/>
      </w:pPr>
      <w:rPr>
        <w:rFonts w:hint="default"/>
      </w:rPr>
    </w:lvl>
    <w:lvl w:ilvl="1" w:tplc="76D67C44">
      <w:start w:val="8"/>
      <w:numFmt w:val="decimal"/>
      <w:lvlText w:val="%2."/>
      <w:lvlJc w:val="left"/>
      <w:pPr>
        <w:tabs>
          <w:tab w:val="num" w:pos="1080"/>
        </w:tabs>
        <w:ind w:left="1080" w:hanging="360"/>
      </w:pPr>
      <w:rPr>
        <w:rFonts w:hint="default"/>
      </w:rPr>
    </w:lvl>
    <w:lvl w:ilvl="2" w:tplc="BF2A35AA" w:tentative="1">
      <w:start w:val="1"/>
      <w:numFmt w:val="lowerRoman"/>
      <w:lvlText w:val="%3."/>
      <w:lvlJc w:val="right"/>
      <w:pPr>
        <w:tabs>
          <w:tab w:val="num" w:pos="1800"/>
        </w:tabs>
        <w:ind w:left="1800" w:hanging="180"/>
      </w:pPr>
    </w:lvl>
    <w:lvl w:ilvl="3" w:tplc="498287AC" w:tentative="1">
      <w:start w:val="1"/>
      <w:numFmt w:val="decimal"/>
      <w:lvlText w:val="%4."/>
      <w:lvlJc w:val="left"/>
      <w:pPr>
        <w:tabs>
          <w:tab w:val="num" w:pos="2520"/>
        </w:tabs>
        <w:ind w:left="2520" w:hanging="360"/>
      </w:pPr>
    </w:lvl>
    <w:lvl w:ilvl="4" w:tplc="4DB6A306" w:tentative="1">
      <w:start w:val="1"/>
      <w:numFmt w:val="lowerLetter"/>
      <w:lvlText w:val="%5."/>
      <w:lvlJc w:val="left"/>
      <w:pPr>
        <w:tabs>
          <w:tab w:val="num" w:pos="3240"/>
        </w:tabs>
        <w:ind w:left="3240" w:hanging="360"/>
      </w:pPr>
    </w:lvl>
    <w:lvl w:ilvl="5" w:tplc="90883BDA" w:tentative="1">
      <w:start w:val="1"/>
      <w:numFmt w:val="lowerRoman"/>
      <w:lvlText w:val="%6."/>
      <w:lvlJc w:val="right"/>
      <w:pPr>
        <w:tabs>
          <w:tab w:val="num" w:pos="3960"/>
        </w:tabs>
        <w:ind w:left="3960" w:hanging="180"/>
      </w:pPr>
    </w:lvl>
    <w:lvl w:ilvl="6" w:tplc="6FEAF4B6" w:tentative="1">
      <w:start w:val="1"/>
      <w:numFmt w:val="decimal"/>
      <w:lvlText w:val="%7."/>
      <w:lvlJc w:val="left"/>
      <w:pPr>
        <w:tabs>
          <w:tab w:val="num" w:pos="4680"/>
        </w:tabs>
        <w:ind w:left="4680" w:hanging="360"/>
      </w:pPr>
    </w:lvl>
    <w:lvl w:ilvl="7" w:tplc="A44A3924" w:tentative="1">
      <w:start w:val="1"/>
      <w:numFmt w:val="lowerLetter"/>
      <w:lvlText w:val="%8."/>
      <w:lvlJc w:val="left"/>
      <w:pPr>
        <w:tabs>
          <w:tab w:val="num" w:pos="5400"/>
        </w:tabs>
        <w:ind w:left="5400" w:hanging="360"/>
      </w:pPr>
    </w:lvl>
    <w:lvl w:ilvl="8" w:tplc="8448325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DA0A98E">
      <w:start w:val="1"/>
      <w:numFmt w:val="lowerLetter"/>
      <w:lvlText w:val="%1)"/>
      <w:lvlJc w:val="left"/>
      <w:pPr>
        <w:tabs>
          <w:tab w:val="num" w:pos="720"/>
        </w:tabs>
        <w:ind w:left="720" w:hanging="360"/>
      </w:pPr>
    </w:lvl>
    <w:lvl w:ilvl="1" w:tplc="57E8B70A" w:tentative="1">
      <w:start w:val="1"/>
      <w:numFmt w:val="lowerLetter"/>
      <w:lvlText w:val="%2."/>
      <w:lvlJc w:val="left"/>
      <w:pPr>
        <w:tabs>
          <w:tab w:val="num" w:pos="1440"/>
        </w:tabs>
        <w:ind w:left="1440" w:hanging="360"/>
      </w:pPr>
    </w:lvl>
    <w:lvl w:ilvl="2" w:tplc="7F22B572" w:tentative="1">
      <w:start w:val="1"/>
      <w:numFmt w:val="lowerRoman"/>
      <w:lvlText w:val="%3."/>
      <w:lvlJc w:val="right"/>
      <w:pPr>
        <w:tabs>
          <w:tab w:val="num" w:pos="2160"/>
        </w:tabs>
        <w:ind w:left="2160" w:hanging="180"/>
      </w:pPr>
    </w:lvl>
    <w:lvl w:ilvl="3" w:tplc="7D4EA4D8" w:tentative="1">
      <w:start w:val="1"/>
      <w:numFmt w:val="decimal"/>
      <w:lvlText w:val="%4."/>
      <w:lvlJc w:val="left"/>
      <w:pPr>
        <w:tabs>
          <w:tab w:val="num" w:pos="2880"/>
        </w:tabs>
        <w:ind w:left="2880" w:hanging="360"/>
      </w:pPr>
    </w:lvl>
    <w:lvl w:ilvl="4" w:tplc="75108B18" w:tentative="1">
      <w:start w:val="1"/>
      <w:numFmt w:val="lowerLetter"/>
      <w:lvlText w:val="%5."/>
      <w:lvlJc w:val="left"/>
      <w:pPr>
        <w:tabs>
          <w:tab w:val="num" w:pos="3600"/>
        </w:tabs>
        <w:ind w:left="3600" w:hanging="360"/>
      </w:pPr>
    </w:lvl>
    <w:lvl w:ilvl="5" w:tplc="A720E78E" w:tentative="1">
      <w:start w:val="1"/>
      <w:numFmt w:val="lowerRoman"/>
      <w:lvlText w:val="%6."/>
      <w:lvlJc w:val="right"/>
      <w:pPr>
        <w:tabs>
          <w:tab w:val="num" w:pos="4320"/>
        </w:tabs>
        <w:ind w:left="4320" w:hanging="180"/>
      </w:pPr>
    </w:lvl>
    <w:lvl w:ilvl="6" w:tplc="D6EC9F92" w:tentative="1">
      <w:start w:val="1"/>
      <w:numFmt w:val="decimal"/>
      <w:lvlText w:val="%7."/>
      <w:lvlJc w:val="left"/>
      <w:pPr>
        <w:tabs>
          <w:tab w:val="num" w:pos="5040"/>
        </w:tabs>
        <w:ind w:left="5040" w:hanging="360"/>
      </w:pPr>
    </w:lvl>
    <w:lvl w:ilvl="7" w:tplc="1916D3FA" w:tentative="1">
      <w:start w:val="1"/>
      <w:numFmt w:val="lowerLetter"/>
      <w:lvlText w:val="%8."/>
      <w:lvlJc w:val="left"/>
      <w:pPr>
        <w:tabs>
          <w:tab w:val="num" w:pos="5760"/>
        </w:tabs>
        <w:ind w:left="5760" w:hanging="360"/>
      </w:pPr>
    </w:lvl>
    <w:lvl w:ilvl="8" w:tplc="D26AD2A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0A36F992">
      <w:start w:val="1"/>
      <w:numFmt w:val="lowerRoman"/>
      <w:lvlText w:val="%1.)"/>
      <w:lvlJc w:val="left"/>
      <w:pPr>
        <w:tabs>
          <w:tab w:val="num" w:pos="720"/>
        </w:tabs>
        <w:ind w:left="435" w:hanging="435"/>
      </w:pPr>
      <w:rPr>
        <w:rFonts w:hint="default"/>
      </w:rPr>
    </w:lvl>
    <w:lvl w:ilvl="1" w:tplc="205E0CBA" w:tentative="1">
      <w:start w:val="1"/>
      <w:numFmt w:val="lowerLetter"/>
      <w:lvlText w:val="%2."/>
      <w:lvlJc w:val="left"/>
      <w:pPr>
        <w:tabs>
          <w:tab w:val="num" w:pos="1440"/>
        </w:tabs>
        <w:ind w:left="1440" w:hanging="360"/>
      </w:pPr>
    </w:lvl>
    <w:lvl w:ilvl="2" w:tplc="8A7A0766" w:tentative="1">
      <w:start w:val="1"/>
      <w:numFmt w:val="lowerRoman"/>
      <w:lvlText w:val="%3."/>
      <w:lvlJc w:val="right"/>
      <w:pPr>
        <w:tabs>
          <w:tab w:val="num" w:pos="2160"/>
        </w:tabs>
        <w:ind w:left="2160" w:hanging="180"/>
      </w:pPr>
    </w:lvl>
    <w:lvl w:ilvl="3" w:tplc="149ADD54" w:tentative="1">
      <w:start w:val="1"/>
      <w:numFmt w:val="decimal"/>
      <w:lvlText w:val="%4."/>
      <w:lvlJc w:val="left"/>
      <w:pPr>
        <w:tabs>
          <w:tab w:val="num" w:pos="2880"/>
        </w:tabs>
        <w:ind w:left="2880" w:hanging="360"/>
      </w:pPr>
    </w:lvl>
    <w:lvl w:ilvl="4" w:tplc="9F98022E" w:tentative="1">
      <w:start w:val="1"/>
      <w:numFmt w:val="lowerLetter"/>
      <w:lvlText w:val="%5."/>
      <w:lvlJc w:val="left"/>
      <w:pPr>
        <w:tabs>
          <w:tab w:val="num" w:pos="3600"/>
        </w:tabs>
        <w:ind w:left="3600" w:hanging="360"/>
      </w:pPr>
    </w:lvl>
    <w:lvl w:ilvl="5" w:tplc="0ABE8B5C" w:tentative="1">
      <w:start w:val="1"/>
      <w:numFmt w:val="lowerRoman"/>
      <w:lvlText w:val="%6."/>
      <w:lvlJc w:val="right"/>
      <w:pPr>
        <w:tabs>
          <w:tab w:val="num" w:pos="4320"/>
        </w:tabs>
        <w:ind w:left="4320" w:hanging="180"/>
      </w:pPr>
    </w:lvl>
    <w:lvl w:ilvl="6" w:tplc="C2326CE4" w:tentative="1">
      <w:start w:val="1"/>
      <w:numFmt w:val="decimal"/>
      <w:lvlText w:val="%7."/>
      <w:lvlJc w:val="left"/>
      <w:pPr>
        <w:tabs>
          <w:tab w:val="num" w:pos="5040"/>
        </w:tabs>
        <w:ind w:left="5040" w:hanging="360"/>
      </w:pPr>
    </w:lvl>
    <w:lvl w:ilvl="7" w:tplc="CE10CC5C" w:tentative="1">
      <w:start w:val="1"/>
      <w:numFmt w:val="lowerLetter"/>
      <w:lvlText w:val="%8."/>
      <w:lvlJc w:val="left"/>
      <w:pPr>
        <w:tabs>
          <w:tab w:val="num" w:pos="5760"/>
        </w:tabs>
        <w:ind w:left="5760" w:hanging="360"/>
      </w:pPr>
    </w:lvl>
    <w:lvl w:ilvl="8" w:tplc="9B882A7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52E2B54">
      <w:start w:val="1"/>
      <w:numFmt w:val="bullet"/>
      <w:lvlText w:val=""/>
      <w:lvlJc w:val="left"/>
      <w:pPr>
        <w:tabs>
          <w:tab w:val="num" w:pos="720"/>
        </w:tabs>
        <w:ind w:left="720" w:hanging="360"/>
      </w:pPr>
      <w:rPr>
        <w:rFonts w:ascii="Symbol" w:hAnsi="Symbol" w:hint="default"/>
      </w:rPr>
    </w:lvl>
    <w:lvl w:ilvl="1" w:tplc="964ECFC2" w:tentative="1">
      <w:start w:val="1"/>
      <w:numFmt w:val="bullet"/>
      <w:lvlText w:val="o"/>
      <w:lvlJc w:val="left"/>
      <w:pPr>
        <w:tabs>
          <w:tab w:val="num" w:pos="1440"/>
        </w:tabs>
        <w:ind w:left="1440" w:hanging="360"/>
      </w:pPr>
      <w:rPr>
        <w:rFonts w:ascii="Courier New" w:hAnsi="Courier New" w:hint="default"/>
      </w:rPr>
    </w:lvl>
    <w:lvl w:ilvl="2" w:tplc="DA547070" w:tentative="1">
      <w:start w:val="1"/>
      <w:numFmt w:val="bullet"/>
      <w:lvlText w:val=""/>
      <w:lvlJc w:val="left"/>
      <w:pPr>
        <w:tabs>
          <w:tab w:val="num" w:pos="2160"/>
        </w:tabs>
        <w:ind w:left="2160" w:hanging="360"/>
      </w:pPr>
      <w:rPr>
        <w:rFonts w:ascii="Wingdings" w:hAnsi="Wingdings" w:hint="default"/>
      </w:rPr>
    </w:lvl>
    <w:lvl w:ilvl="3" w:tplc="ECA28188" w:tentative="1">
      <w:start w:val="1"/>
      <w:numFmt w:val="bullet"/>
      <w:lvlText w:val=""/>
      <w:lvlJc w:val="left"/>
      <w:pPr>
        <w:tabs>
          <w:tab w:val="num" w:pos="2880"/>
        </w:tabs>
        <w:ind w:left="2880" w:hanging="360"/>
      </w:pPr>
      <w:rPr>
        <w:rFonts w:ascii="Symbol" w:hAnsi="Symbol" w:hint="default"/>
      </w:rPr>
    </w:lvl>
    <w:lvl w:ilvl="4" w:tplc="D47E5BB6" w:tentative="1">
      <w:start w:val="1"/>
      <w:numFmt w:val="bullet"/>
      <w:lvlText w:val="o"/>
      <w:lvlJc w:val="left"/>
      <w:pPr>
        <w:tabs>
          <w:tab w:val="num" w:pos="3600"/>
        </w:tabs>
        <w:ind w:left="3600" w:hanging="360"/>
      </w:pPr>
      <w:rPr>
        <w:rFonts w:ascii="Courier New" w:hAnsi="Courier New" w:hint="default"/>
      </w:rPr>
    </w:lvl>
    <w:lvl w:ilvl="5" w:tplc="B91E3E34" w:tentative="1">
      <w:start w:val="1"/>
      <w:numFmt w:val="bullet"/>
      <w:lvlText w:val=""/>
      <w:lvlJc w:val="left"/>
      <w:pPr>
        <w:tabs>
          <w:tab w:val="num" w:pos="4320"/>
        </w:tabs>
        <w:ind w:left="4320" w:hanging="360"/>
      </w:pPr>
      <w:rPr>
        <w:rFonts w:ascii="Wingdings" w:hAnsi="Wingdings" w:hint="default"/>
      </w:rPr>
    </w:lvl>
    <w:lvl w:ilvl="6" w:tplc="99E098BC" w:tentative="1">
      <w:start w:val="1"/>
      <w:numFmt w:val="bullet"/>
      <w:lvlText w:val=""/>
      <w:lvlJc w:val="left"/>
      <w:pPr>
        <w:tabs>
          <w:tab w:val="num" w:pos="5040"/>
        </w:tabs>
        <w:ind w:left="5040" w:hanging="360"/>
      </w:pPr>
      <w:rPr>
        <w:rFonts w:ascii="Symbol" w:hAnsi="Symbol" w:hint="default"/>
      </w:rPr>
    </w:lvl>
    <w:lvl w:ilvl="7" w:tplc="E926F592" w:tentative="1">
      <w:start w:val="1"/>
      <w:numFmt w:val="bullet"/>
      <w:lvlText w:val="o"/>
      <w:lvlJc w:val="left"/>
      <w:pPr>
        <w:tabs>
          <w:tab w:val="num" w:pos="5760"/>
        </w:tabs>
        <w:ind w:left="5760" w:hanging="360"/>
      </w:pPr>
      <w:rPr>
        <w:rFonts w:ascii="Courier New" w:hAnsi="Courier New" w:hint="default"/>
      </w:rPr>
    </w:lvl>
    <w:lvl w:ilvl="8" w:tplc="89561A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FC9A6254">
      <w:start w:val="1"/>
      <w:numFmt w:val="bullet"/>
      <w:lvlText w:val=""/>
      <w:lvlJc w:val="left"/>
      <w:pPr>
        <w:tabs>
          <w:tab w:val="num" w:pos="1440"/>
        </w:tabs>
        <w:ind w:left="1440" w:hanging="360"/>
      </w:pPr>
      <w:rPr>
        <w:rFonts w:ascii="Symbol" w:hAnsi="Symbol" w:hint="default"/>
      </w:rPr>
    </w:lvl>
    <w:lvl w:ilvl="1" w:tplc="8CAC14D2" w:tentative="1">
      <w:start w:val="1"/>
      <w:numFmt w:val="bullet"/>
      <w:lvlText w:val="o"/>
      <w:lvlJc w:val="left"/>
      <w:pPr>
        <w:tabs>
          <w:tab w:val="num" w:pos="2160"/>
        </w:tabs>
        <w:ind w:left="2160" w:hanging="360"/>
      </w:pPr>
      <w:rPr>
        <w:rFonts w:ascii="Courier New" w:hAnsi="Courier New" w:hint="default"/>
      </w:rPr>
    </w:lvl>
    <w:lvl w:ilvl="2" w:tplc="13BC74A6" w:tentative="1">
      <w:start w:val="1"/>
      <w:numFmt w:val="bullet"/>
      <w:lvlText w:val=""/>
      <w:lvlJc w:val="left"/>
      <w:pPr>
        <w:tabs>
          <w:tab w:val="num" w:pos="2880"/>
        </w:tabs>
        <w:ind w:left="2880" w:hanging="360"/>
      </w:pPr>
      <w:rPr>
        <w:rFonts w:ascii="Wingdings" w:hAnsi="Wingdings" w:hint="default"/>
      </w:rPr>
    </w:lvl>
    <w:lvl w:ilvl="3" w:tplc="A158348C" w:tentative="1">
      <w:start w:val="1"/>
      <w:numFmt w:val="bullet"/>
      <w:lvlText w:val=""/>
      <w:lvlJc w:val="left"/>
      <w:pPr>
        <w:tabs>
          <w:tab w:val="num" w:pos="3600"/>
        </w:tabs>
        <w:ind w:left="3600" w:hanging="360"/>
      </w:pPr>
      <w:rPr>
        <w:rFonts w:ascii="Symbol" w:hAnsi="Symbol" w:hint="default"/>
      </w:rPr>
    </w:lvl>
    <w:lvl w:ilvl="4" w:tplc="66B6D670" w:tentative="1">
      <w:start w:val="1"/>
      <w:numFmt w:val="bullet"/>
      <w:lvlText w:val="o"/>
      <w:lvlJc w:val="left"/>
      <w:pPr>
        <w:tabs>
          <w:tab w:val="num" w:pos="4320"/>
        </w:tabs>
        <w:ind w:left="4320" w:hanging="360"/>
      </w:pPr>
      <w:rPr>
        <w:rFonts w:ascii="Courier New" w:hAnsi="Courier New" w:hint="default"/>
      </w:rPr>
    </w:lvl>
    <w:lvl w:ilvl="5" w:tplc="496C381E" w:tentative="1">
      <w:start w:val="1"/>
      <w:numFmt w:val="bullet"/>
      <w:lvlText w:val=""/>
      <w:lvlJc w:val="left"/>
      <w:pPr>
        <w:tabs>
          <w:tab w:val="num" w:pos="5040"/>
        </w:tabs>
        <w:ind w:left="5040" w:hanging="360"/>
      </w:pPr>
      <w:rPr>
        <w:rFonts w:ascii="Wingdings" w:hAnsi="Wingdings" w:hint="default"/>
      </w:rPr>
    </w:lvl>
    <w:lvl w:ilvl="6" w:tplc="445E1BB6" w:tentative="1">
      <w:start w:val="1"/>
      <w:numFmt w:val="bullet"/>
      <w:lvlText w:val=""/>
      <w:lvlJc w:val="left"/>
      <w:pPr>
        <w:tabs>
          <w:tab w:val="num" w:pos="5760"/>
        </w:tabs>
        <w:ind w:left="5760" w:hanging="360"/>
      </w:pPr>
      <w:rPr>
        <w:rFonts w:ascii="Symbol" w:hAnsi="Symbol" w:hint="default"/>
      </w:rPr>
    </w:lvl>
    <w:lvl w:ilvl="7" w:tplc="70E8DB96" w:tentative="1">
      <w:start w:val="1"/>
      <w:numFmt w:val="bullet"/>
      <w:lvlText w:val="o"/>
      <w:lvlJc w:val="left"/>
      <w:pPr>
        <w:tabs>
          <w:tab w:val="num" w:pos="6480"/>
        </w:tabs>
        <w:ind w:left="6480" w:hanging="360"/>
      </w:pPr>
      <w:rPr>
        <w:rFonts w:ascii="Courier New" w:hAnsi="Courier New" w:hint="default"/>
      </w:rPr>
    </w:lvl>
    <w:lvl w:ilvl="8" w:tplc="C070038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BD10A6F8">
      <w:start w:val="1"/>
      <w:numFmt w:val="bullet"/>
      <w:lvlText w:val=""/>
      <w:lvlJc w:val="left"/>
      <w:pPr>
        <w:tabs>
          <w:tab w:val="num" w:pos="1440"/>
        </w:tabs>
        <w:ind w:left="1440" w:hanging="360"/>
      </w:pPr>
      <w:rPr>
        <w:rFonts w:ascii="Symbol" w:hAnsi="Symbol" w:hint="default"/>
      </w:rPr>
    </w:lvl>
    <w:lvl w:ilvl="1" w:tplc="2968D726" w:tentative="1">
      <w:start w:val="1"/>
      <w:numFmt w:val="bullet"/>
      <w:lvlText w:val="o"/>
      <w:lvlJc w:val="left"/>
      <w:pPr>
        <w:tabs>
          <w:tab w:val="num" w:pos="2160"/>
        </w:tabs>
        <w:ind w:left="2160" w:hanging="360"/>
      </w:pPr>
      <w:rPr>
        <w:rFonts w:ascii="Courier New" w:hAnsi="Courier New" w:hint="default"/>
      </w:rPr>
    </w:lvl>
    <w:lvl w:ilvl="2" w:tplc="8F4838AE" w:tentative="1">
      <w:start w:val="1"/>
      <w:numFmt w:val="bullet"/>
      <w:lvlText w:val=""/>
      <w:lvlJc w:val="left"/>
      <w:pPr>
        <w:tabs>
          <w:tab w:val="num" w:pos="2880"/>
        </w:tabs>
        <w:ind w:left="2880" w:hanging="360"/>
      </w:pPr>
      <w:rPr>
        <w:rFonts w:ascii="Wingdings" w:hAnsi="Wingdings" w:hint="default"/>
      </w:rPr>
    </w:lvl>
    <w:lvl w:ilvl="3" w:tplc="E3DE386C" w:tentative="1">
      <w:start w:val="1"/>
      <w:numFmt w:val="bullet"/>
      <w:lvlText w:val=""/>
      <w:lvlJc w:val="left"/>
      <w:pPr>
        <w:tabs>
          <w:tab w:val="num" w:pos="3600"/>
        </w:tabs>
        <w:ind w:left="3600" w:hanging="360"/>
      </w:pPr>
      <w:rPr>
        <w:rFonts w:ascii="Symbol" w:hAnsi="Symbol" w:hint="default"/>
      </w:rPr>
    </w:lvl>
    <w:lvl w:ilvl="4" w:tplc="01EAC7EA" w:tentative="1">
      <w:start w:val="1"/>
      <w:numFmt w:val="bullet"/>
      <w:lvlText w:val="o"/>
      <w:lvlJc w:val="left"/>
      <w:pPr>
        <w:tabs>
          <w:tab w:val="num" w:pos="4320"/>
        </w:tabs>
        <w:ind w:left="4320" w:hanging="360"/>
      </w:pPr>
      <w:rPr>
        <w:rFonts w:ascii="Courier New" w:hAnsi="Courier New" w:hint="default"/>
      </w:rPr>
    </w:lvl>
    <w:lvl w:ilvl="5" w:tplc="F392AF5E" w:tentative="1">
      <w:start w:val="1"/>
      <w:numFmt w:val="bullet"/>
      <w:lvlText w:val=""/>
      <w:lvlJc w:val="left"/>
      <w:pPr>
        <w:tabs>
          <w:tab w:val="num" w:pos="5040"/>
        </w:tabs>
        <w:ind w:left="5040" w:hanging="360"/>
      </w:pPr>
      <w:rPr>
        <w:rFonts w:ascii="Wingdings" w:hAnsi="Wingdings" w:hint="default"/>
      </w:rPr>
    </w:lvl>
    <w:lvl w:ilvl="6" w:tplc="2EF03B4C" w:tentative="1">
      <w:start w:val="1"/>
      <w:numFmt w:val="bullet"/>
      <w:lvlText w:val=""/>
      <w:lvlJc w:val="left"/>
      <w:pPr>
        <w:tabs>
          <w:tab w:val="num" w:pos="5760"/>
        </w:tabs>
        <w:ind w:left="5760" w:hanging="360"/>
      </w:pPr>
      <w:rPr>
        <w:rFonts w:ascii="Symbol" w:hAnsi="Symbol" w:hint="default"/>
      </w:rPr>
    </w:lvl>
    <w:lvl w:ilvl="7" w:tplc="2D98A878" w:tentative="1">
      <w:start w:val="1"/>
      <w:numFmt w:val="bullet"/>
      <w:lvlText w:val="o"/>
      <w:lvlJc w:val="left"/>
      <w:pPr>
        <w:tabs>
          <w:tab w:val="num" w:pos="6480"/>
        </w:tabs>
        <w:ind w:left="6480" w:hanging="360"/>
      </w:pPr>
      <w:rPr>
        <w:rFonts w:ascii="Courier New" w:hAnsi="Courier New" w:hint="default"/>
      </w:rPr>
    </w:lvl>
    <w:lvl w:ilvl="8" w:tplc="8D627FB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36E9C02">
      <w:start w:val="1"/>
      <w:numFmt w:val="bullet"/>
      <w:lvlText w:val=""/>
      <w:lvlJc w:val="left"/>
      <w:pPr>
        <w:tabs>
          <w:tab w:val="num" w:pos="1440"/>
        </w:tabs>
        <w:ind w:left="1440" w:hanging="360"/>
      </w:pPr>
      <w:rPr>
        <w:rFonts w:ascii="Symbol" w:hAnsi="Symbol" w:hint="default"/>
      </w:rPr>
    </w:lvl>
    <w:lvl w:ilvl="1" w:tplc="74AC4602">
      <w:start w:val="1"/>
      <w:numFmt w:val="bullet"/>
      <w:lvlText w:val="o"/>
      <w:lvlJc w:val="left"/>
      <w:pPr>
        <w:tabs>
          <w:tab w:val="num" w:pos="2160"/>
        </w:tabs>
        <w:ind w:left="2160" w:hanging="360"/>
      </w:pPr>
      <w:rPr>
        <w:rFonts w:ascii="Courier New" w:hAnsi="Courier New" w:hint="default"/>
      </w:rPr>
    </w:lvl>
    <w:lvl w:ilvl="2" w:tplc="17069C90" w:tentative="1">
      <w:start w:val="1"/>
      <w:numFmt w:val="bullet"/>
      <w:lvlText w:val=""/>
      <w:lvlJc w:val="left"/>
      <w:pPr>
        <w:tabs>
          <w:tab w:val="num" w:pos="2880"/>
        </w:tabs>
        <w:ind w:left="2880" w:hanging="360"/>
      </w:pPr>
      <w:rPr>
        <w:rFonts w:ascii="Wingdings" w:hAnsi="Wingdings" w:hint="default"/>
      </w:rPr>
    </w:lvl>
    <w:lvl w:ilvl="3" w:tplc="D6EC9DF2" w:tentative="1">
      <w:start w:val="1"/>
      <w:numFmt w:val="bullet"/>
      <w:lvlText w:val=""/>
      <w:lvlJc w:val="left"/>
      <w:pPr>
        <w:tabs>
          <w:tab w:val="num" w:pos="3600"/>
        </w:tabs>
        <w:ind w:left="3600" w:hanging="360"/>
      </w:pPr>
      <w:rPr>
        <w:rFonts w:ascii="Symbol" w:hAnsi="Symbol" w:hint="default"/>
      </w:rPr>
    </w:lvl>
    <w:lvl w:ilvl="4" w:tplc="E72ADCA6" w:tentative="1">
      <w:start w:val="1"/>
      <w:numFmt w:val="bullet"/>
      <w:lvlText w:val="o"/>
      <w:lvlJc w:val="left"/>
      <w:pPr>
        <w:tabs>
          <w:tab w:val="num" w:pos="4320"/>
        </w:tabs>
        <w:ind w:left="4320" w:hanging="360"/>
      </w:pPr>
      <w:rPr>
        <w:rFonts w:ascii="Courier New" w:hAnsi="Courier New" w:hint="default"/>
      </w:rPr>
    </w:lvl>
    <w:lvl w:ilvl="5" w:tplc="8CB689C4" w:tentative="1">
      <w:start w:val="1"/>
      <w:numFmt w:val="bullet"/>
      <w:lvlText w:val=""/>
      <w:lvlJc w:val="left"/>
      <w:pPr>
        <w:tabs>
          <w:tab w:val="num" w:pos="5040"/>
        </w:tabs>
        <w:ind w:left="5040" w:hanging="360"/>
      </w:pPr>
      <w:rPr>
        <w:rFonts w:ascii="Wingdings" w:hAnsi="Wingdings" w:hint="default"/>
      </w:rPr>
    </w:lvl>
    <w:lvl w:ilvl="6" w:tplc="B6A08994" w:tentative="1">
      <w:start w:val="1"/>
      <w:numFmt w:val="bullet"/>
      <w:lvlText w:val=""/>
      <w:lvlJc w:val="left"/>
      <w:pPr>
        <w:tabs>
          <w:tab w:val="num" w:pos="5760"/>
        </w:tabs>
        <w:ind w:left="5760" w:hanging="360"/>
      </w:pPr>
      <w:rPr>
        <w:rFonts w:ascii="Symbol" w:hAnsi="Symbol" w:hint="default"/>
      </w:rPr>
    </w:lvl>
    <w:lvl w:ilvl="7" w:tplc="8DD243DC" w:tentative="1">
      <w:start w:val="1"/>
      <w:numFmt w:val="bullet"/>
      <w:lvlText w:val="o"/>
      <w:lvlJc w:val="left"/>
      <w:pPr>
        <w:tabs>
          <w:tab w:val="num" w:pos="6480"/>
        </w:tabs>
        <w:ind w:left="6480" w:hanging="360"/>
      </w:pPr>
      <w:rPr>
        <w:rFonts w:ascii="Courier New" w:hAnsi="Courier New" w:hint="default"/>
      </w:rPr>
    </w:lvl>
    <w:lvl w:ilvl="8" w:tplc="D91CCA7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027EEC7E">
      <w:start w:val="1"/>
      <w:numFmt w:val="bullet"/>
      <w:lvlText w:val=""/>
      <w:lvlJc w:val="left"/>
      <w:pPr>
        <w:tabs>
          <w:tab w:val="num" w:pos="720"/>
        </w:tabs>
        <w:ind w:left="720" w:hanging="360"/>
      </w:pPr>
      <w:rPr>
        <w:rFonts w:ascii="Symbol" w:hAnsi="Symbol" w:hint="default"/>
      </w:rPr>
    </w:lvl>
    <w:lvl w:ilvl="1" w:tplc="4E0A5A42">
      <w:start w:val="1"/>
      <w:numFmt w:val="bullet"/>
      <w:lvlText w:val="o"/>
      <w:lvlJc w:val="left"/>
      <w:pPr>
        <w:tabs>
          <w:tab w:val="num" w:pos="1440"/>
        </w:tabs>
        <w:ind w:left="1440" w:hanging="360"/>
      </w:pPr>
      <w:rPr>
        <w:rFonts w:ascii="Courier New" w:hAnsi="Courier New" w:hint="default"/>
      </w:rPr>
    </w:lvl>
    <w:lvl w:ilvl="2" w:tplc="2C34212A" w:tentative="1">
      <w:start w:val="1"/>
      <w:numFmt w:val="bullet"/>
      <w:lvlText w:val=""/>
      <w:lvlJc w:val="left"/>
      <w:pPr>
        <w:tabs>
          <w:tab w:val="num" w:pos="2160"/>
        </w:tabs>
        <w:ind w:left="2160" w:hanging="360"/>
      </w:pPr>
      <w:rPr>
        <w:rFonts w:ascii="Wingdings" w:hAnsi="Wingdings" w:hint="default"/>
      </w:rPr>
    </w:lvl>
    <w:lvl w:ilvl="3" w:tplc="BA04E116" w:tentative="1">
      <w:start w:val="1"/>
      <w:numFmt w:val="bullet"/>
      <w:lvlText w:val=""/>
      <w:lvlJc w:val="left"/>
      <w:pPr>
        <w:tabs>
          <w:tab w:val="num" w:pos="2880"/>
        </w:tabs>
        <w:ind w:left="2880" w:hanging="360"/>
      </w:pPr>
      <w:rPr>
        <w:rFonts w:ascii="Symbol" w:hAnsi="Symbol" w:hint="default"/>
      </w:rPr>
    </w:lvl>
    <w:lvl w:ilvl="4" w:tplc="ABEC2738" w:tentative="1">
      <w:start w:val="1"/>
      <w:numFmt w:val="bullet"/>
      <w:lvlText w:val="o"/>
      <w:lvlJc w:val="left"/>
      <w:pPr>
        <w:tabs>
          <w:tab w:val="num" w:pos="3600"/>
        </w:tabs>
        <w:ind w:left="3600" w:hanging="360"/>
      </w:pPr>
      <w:rPr>
        <w:rFonts w:ascii="Courier New" w:hAnsi="Courier New" w:hint="default"/>
      </w:rPr>
    </w:lvl>
    <w:lvl w:ilvl="5" w:tplc="1296723C" w:tentative="1">
      <w:start w:val="1"/>
      <w:numFmt w:val="bullet"/>
      <w:lvlText w:val=""/>
      <w:lvlJc w:val="left"/>
      <w:pPr>
        <w:tabs>
          <w:tab w:val="num" w:pos="4320"/>
        </w:tabs>
        <w:ind w:left="4320" w:hanging="360"/>
      </w:pPr>
      <w:rPr>
        <w:rFonts w:ascii="Wingdings" w:hAnsi="Wingdings" w:hint="default"/>
      </w:rPr>
    </w:lvl>
    <w:lvl w:ilvl="6" w:tplc="C4E62A4C" w:tentative="1">
      <w:start w:val="1"/>
      <w:numFmt w:val="bullet"/>
      <w:lvlText w:val=""/>
      <w:lvlJc w:val="left"/>
      <w:pPr>
        <w:tabs>
          <w:tab w:val="num" w:pos="5040"/>
        </w:tabs>
        <w:ind w:left="5040" w:hanging="360"/>
      </w:pPr>
      <w:rPr>
        <w:rFonts w:ascii="Symbol" w:hAnsi="Symbol" w:hint="default"/>
      </w:rPr>
    </w:lvl>
    <w:lvl w:ilvl="7" w:tplc="E9E8119C" w:tentative="1">
      <w:start w:val="1"/>
      <w:numFmt w:val="bullet"/>
      <w:lvlText w:val="o"/>
      <w:lvlJc w:val="left"/>
      <w:pPr>
        <w:tabs>
          <w:tab w:val="num" w:pos="5760"/>
        </w:tabs>
        <w:ind w:left="5760" w:hanging="360"/>
      </w:pPr>
      <w:rPr>
        <w:rFonts w:ascii="Courier New" w:hAnsi="Courier New" w:hint="default"/>
      </w:rPr>
    </w:lvl>
    <w:lvl w:ilvl="8" w:tplc="132832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642A21C6">
      <w:start w:val="1"/>
      <w:numFmt w:val="lowerRoman"/>
      <w:lvlText w:val="%1.)"/>
      <w:lvlJc w:val="left"/>
      <w:pPr>
        <w:tabs>
          <w:tab w:val="num" w:pos="540"/>
        </w:tabs>
        <w:ind w:left="255" w:hanging="435"/>
      </w:pPr>
      <w:rPr>
        <w:rFonts w:hint="default"/>
      </w:rPr>
    </w:lvl>
    <w:lvl w:ilvl="1" w:tplc="2602684C" w:tentative="1">
      <w:start w:val="1"/>
      <w:numFmt w:val="lowerLetter"/>
      <w:lvlText w:val="%2."/>
      <w:lvlJc w:val="left"/>
      <w:pPr>
        <w:tabs>
          <w:tab w:val="num" w:pos="1260"/>
        </w:tabs>
        <w:ind w:left="1260" w:hanging="360"/>
      </w:pPr>
    </w:lvl>
    <w:lvl w:ilvl="2" w:tplc="C4DA87CE" w:tentative="1">
      <w:start w:val="1"/>
      <w:numFmt w:val="lowerRoman"/>
      <w:lvlText w:val="%3."/>
      <w:lvlJc w:val="right"/>
      <w:pPr>
        <w:tabs>
          <w:tab w:val="num" w:pos="1980"/>
        </w:tabs>
        <w:ind w:left="1980" w:hanging="180"/>
      </w:pPr>
    </w:lvl>
    <w:lvl w:ilvl="3" w:tplc="5BE02AF4" w:tentative="1">
      <w:start w:val="1"/>
      <w:numFmt w:val="decimal"/>
      <w:lvlText w:val="%4."/>
      <w:lvlJc w:val="left"/>
      <w:pPr>
        <w:tabs>
          <w:tab w:val="num" w:pos="2700"/>
        </w:tabs>
        <w:ind w:left="2700" w:hanging="360"/>
      </w:pPr>
    </w:lvl>
    <w:lvl w:ilvl="4" w:tplc="1C08BAB6" w:tentative="1">
      <w:start w:val="1"/>
      <w:numFmt w:val="lowerLetter"/>
      <w:lvlText w:val="%5."/>
      <w:lvlJc w:val="left"/>
      <w:pPr>
        <w:tabs>
          <w:tab w:val="num" w:pos="3420"/>
        </w:tabs>
        <w:ind w:left="3420" w:hanging="360"/>
      </w:pPr>
    </w:lvl>
    <w:lvl w:ilvl="5" w:tplc="7A2C5BFE" w:tentative="1">
      <w:start w:val="1"/>
      <w:numFmt w:val="lowerRoman"/>
      <w:lvlText w:val="%6."/>
      <w:lvlJc w:val="right"/>
      <w:pPr>
        <w:tabs>
          <w:tab w:val="num" w:pos="4140"/>
        </w:tabs>
        <w:ind w:left="4140" w:hanging="180"/>
      </w:pPr>
    </w:lvl>
    <w:lvl w:ilvl="6" w:tplc="BBEE38F2" w:tentative="1">
      <w:start w:val="1"/>
      <w:numFmt w:val="decimal"/>
      <w:lvlText w:val="%7."/>
      <w:lvlJc w:val="left"/>
      <w:pPr>
        <w:tabs>
          <w:tab w:val="num" w:pos="4860"/>
        </w:tabs>
        <w:ind w:left="4860" w:hanging="360"/>
      </w:pPr>
    </w:lvl>
    <w:lvl w:ilvl="7" w:tplc="09C4E66A" w:tentative="1">
      <w:start w:val="1"/>
      <w:numFmt w:val="lowerLetter"/>
      <w:lvlText w:val="%8."/>
      <w:lvlJc w:val="left"/>
      <w:pPr>
        <w:tabs>
          <w:tab w:val="num" w:pos="5580"/>
        </w:tabs>
        <w:ind w:left="5580" w:hanging="360"/>
      </w:pPr>
    </w:lvl>
    <w:lvl w:ilvl="8" w:tplc="F44EDCB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801C5650">
      <w:start w:val="1"/>
      <w:numFmt w:val="decimal"/>
      <w:lvlText w:val="%1."/>
      <w:lvlJc w:val="left"/>
      <w:pPr>
        <w:tabs>
          <w:tab w:val="num" w:pos="180"/>
        </w:tabs>
        <w:ind w:left="180" w:hanging="360"/>
      </w:pPr>
      <w:rPr>
        <w:rFonts w:hint="default"/>
      </w:rPr>
    </w:lvl>
    <w:lvl w:ilvl="1" w:tplc="BB4846D0" w:tentative="1">
      <w:start w:val="1"/>
      <w:numFmt w:val="lowerLetter"/>
      <w:lvlText w:val="%2."/>
      <w:lvlJc w:val="left"/>
      <w:pPr>
        <w:tabs>
          <w:tab w:val="num" w:pos="900"/>
        </w:tabs>
        <w:ind w:left="900" w:hanging="360"/>
      </w:pPr>
    </w:lvl>
    <w:lvl w:ilvl="2" w:tplc="2604EF50" w:tentative="1">
      <w:start w:val="1"/>
      <w:numFmt w:val="lowerRoman"/>
      <w:lvlText w:val="%3."/>
      <w:lvlJc w:val="right"/>
      <w:pPr>
        <w:tabs>
          <w:tab w:val="num" w:pos="1620"/>
        </w:tabs>
        <w:ind w:left="1620" w:hanging="180"/>
      </w:pPr>
    </w:lvl>
    <w:lvl w:ilvl="3" w:tplc="5A5A8F38" w:tentative="1">
      <w:start w:val="1"/>
      <w:numFmt w:val="decimal"/>
      <w:lvlText w:val="%4."/>
      <w:lvlJc w:val="left"/>
      <w:pPr>
        <w:tabs>
          <w:tab w:val="num" w:pos="2340"/>
        </w:tabs>
        <w:ind w:left="2340" w:hanging="360"/>
      </w:pPr>
    </w:lvl>
    <w:lvl w:ilvl="4" w:tplc="CD5E1386" w:tentative="1">
      <w:start w:val="1"/>
      <w:numFmt w:val="lowerLetter"/>
      <w:lvlText w:val="%5."/>
      <w:lvlJc w:val="left"/>
      <w:pPr>
        <w:tabs>
          <w:tab w:val="num" w:pos="3060"/>
        </w:tabs>
        <w:ind w:left="3060" w:hanging="360"/>
      </w:pPr>
    </w:lvl>
    <w:lvl w:ilvl="5" w:tplc="4F3063BE" w:tentative="1">
      <w:start w:val="1"/>
      <w:numFmt w:val="lowerRoman"/>
      <w:lvlText w:val="%6."/>
      <w:lvlJc w:val="right"/>
      <w:pPr>
        <w:tabs>
          <w:tab w:val="num" w:pos="3780"/>
        </w:tabs>
        <w:ind w:left="3780" w:hanging="180"/>
      </w:pPr>
    </w:lvl>
    <w:lvl w:ilvl="6" w:tplc="DB6A0E40" w:tentative="1">
      <w:start w:val="1"/>
      <w:numFmt w:val="decimal"/>
      <w:lvlText w:val="%7."/>
      <w:lvlJc w:val="left"/>
      <w:pPr>
        <w:tabs>
          <w:tab w:val="num" w:pos="4500"/>
        </w:tabs>
        <w:ind w:left="4500" w:hanging="360"/>
      </w:pPr>
    </w:lvl>
    <w:lvl w:ilvl="7" w:tplc="032E3366" w:tentative="1">
      <w:start w:val="1"/>
      <w:numFmt w:val="lowerLetter"/>
      <w:lvlText w:val="%8."/>
      <w:lvlJc w:val="left"/>
      <w:pPr>
        <w:tabs>
          <w:tab w:val="num" w:pos="5220"/>
        </w:tabs>
        <w:ind w:left="5220" w:hanging="360"/>
      </w:pPr>
    </w:lvl>
    <w:lvl w:ilvl="8" w:tplc="35E4CB1E"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24A2B828">
      <w:start w:val="1"/>
      <w:numFmt w:val="bullet"/>
      <w:lvlText w:val=""/>
      <w:lvlJc w:val="left"/>
      <w:pPr>
        <w:tabs>
          <w:tab w:val="num" w:pos="720"/>
        </w:tabs>
        <w:ind w:left="720" w:hanging="360"/>
      </w:pPr>
      <w:rPr>
        <w:rFonts w:ascii="Symbol" w:hAnsi="Symbol" w:hint="default"/>
      </w:rPr>
    </w:lvl>
    <w:lvl w:ilvl="1" w:tplc="50ECD63E" w:tentative="1">
      <w:start w:val="1"/>
      <w:numFmt w:val="bullet"/>
      <w:lvlText w:val="o"/>
      <w:lvlJc w:val="left"/>
      <w:pPr>
        <w:tabs>
          <w:tab w:val="num" w:pos="1440"/>
        </w:tabs>
        <w:ind w:left="1440" w:hanging="360"/>
      </w:pPr>
      <w:rPr>
        <w:rFonts w:ascii="Courier New" w:hAnsi="Courier New" w:hint="default"/>
      </w:rPr>
    </w:lvl>
    <w:lvl w:ilvl="2" w:tplc="A2A41FAA" w:tentative="1">
      <w:start w:val="1"/>
      <w:numFmt w:val="bullet"/>
      <w:lvlText w:val=""/>
      <w:lvlJc w:val="left"/>
      <w:pPr>
        <w:tabs>
          <w:tab w:val="num" w:pos="2160"/>
        </w:tabs>
        <w:ind w:left="2160" w:hanging="360"/>
      </w:pPr>
      <w:rPr>
        <w:rFonts w:ascii="Wingdings" w:hAnsi="Wingdings" w:hint="default"/>
      </w:rPr>
    </w:lvl>
    <w:lvl w:ilvl="3" w:tplc="FCFAC60A" w:tentative="1">
      <w:start w:val="1"/>
      <w:numFmt w:val="bullet"/>
      <w:lvlText w:val=""/>
      <w:lvlJc w:val="left"/>
      <w:pPr>
        <w:tabs>
          <w:tab w:val="num" w:pos="2880"/>
        </w:tabs>
        <w:ind w:left="2880" w:hanging="360"/>
      </w:pPr>
      <w:rPr>
        <w:rFonts w:ascii="Symbol" w:hAnsi="Symbol" w:hint="default"/>
      </w:rPr>
    </w:lvl>
    <w:lvl w:ilvl="4" w:tplc="E8BAB67A" w:tentative="1">
      <w:start w:val="1"/>
      <w:numFmt w:val="bullet"/>
      <w:lvlText w:val="o"/>
      <w:lvlJc w:val="left"/>
      <w:pPr>
        <w:tabs>
          <w:tab w:val="num" w:pos="3600"/>
        </w:tabs>
        <w:ind w:left="3600" w:hanging="360"/>
      </w:pPr>
      <w:rPr>
        <w:rFonts w:ascii="Courier New" w:hAnsi="Courier New" w:hint="default"/>
      </w:rPr>
    </w:lvl>
    <w:lvl w:ilvl="5" w:tplc="173475D8" w:tentative="1">
      <w:start w:val="1"/>
      <w:numFmt w:val="bullet"/>
      <w:lvlText w:val=""/>
      <w:lvlJc w:val="left"/>
      <w:pPr>
        <w:tabs>
          <w:tab w:val="num" w:pos="4320"/>
        </w:tabs>
        <w:ind w:left="4320" w:hanging="360"/>
      </w:pPr>
      <w:rPr>
        <w:rFonts w:ascii="Wingdings" w:hAnsi="Wingdings" w:hint="default"/>
      </w:rPr>
    </w:lvl>
    <w:lvl w:ilvl="6" w:tplc="787218D6" w:tentative="1">
      <w:start w:val="1"/>
      <w:numFmt w:val="bullet"/>
      <w:lvlText w:val=""/>
      <w:lvlJc w:val="left"/>
      <w:pPr>
        <w:tabs>
          <w:tab w:val="num" w:pos="5040"/>
        </w:tabs>
        <w:ind w:left="5040" w:hanging="360"/>
      </w:pPr>
      <w:rPr>
        <w:rFonts w:ascii="Symbol" w:hAnsi="Symbol" w:hint="default"/>
      </w:rPr>
    </w:lvl>
    <w:lvl w:ilvl="7" w:tplc="4A0036EA" w:tentative="1">
      <w:start w:val="1"/>
      <w:numFmt w:val="bullet"/>
      <w:lvlText w:val="o"/>
      <w:lvlJc w:val="left"/>
      <w:pPr>
        <w:tabs>
          <w:tab w:val="num" w:pos="5760"/>
        </w:tabs>
        <w:ind w:left="5760" w:hanging="360"/>
      </w:pPr>
      <w:rPr>
        <w:rFonts w:ascii="Courier New" w:hAnsi="Courier New" w:hint="default"/>
      </w:rPr>
    </w:lvl>
    <w:lvl w:ilvl="8" w:tplc="F9FAB6F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583A1CB0">
      <w:start w:val="1"/>
      <w:numFmt w:val="bullet"/>
      <w:lvlText w:val=""/>
      <w:lvlJc w:val="left"/>
      <w:pPr>
        <w:tabs>
          <w:tab w:val="num" w:pos="720"/>
        </w:tabs>
        <w:ind w:left="720" w:hanging="360"/>
      </w:pPr>
      <w:rPr>
        <w:rFonts w:ascii="Symbol" w:hAnsi="Symbol" w:hint="default"/>
      </w:rPr>
    </w:lvl>
    <w:lvl w:ilvl="1" w:tplc="D12E4DA2">
      <w:start w:val="1"/>
      <w:numFmt w:val="bullet"/>
      <w:lvlText w:val="o"/>
      <w:lvlJc w:val="left"/>
      <w:pPr>
        <w:tabs>
          <w:tab w:val="num" w:pos="1440"/>
        </w:tabs>
        <w:ind w:left="1440" w:hanging="360"/>
      </w:pPr>
      <w:rPr>
        <w:rFonts w:ascii="Courier New" w:hAnsi="Courier New" w:hint="default"/>
      </w:rPr>
    </w:lvl>
    <w:lvl w:ilvl="2" w:tplc="8DFC6A6C" w:tentative="1">
      <w:start w:val="1"/>
      <w:numFmt w:val="bullet"/>
      <w:lvlText w:val=""/>
      <w:lvlJc w:val="left"/>
      <w:pPr>
        <w:tabs>
          <w:tab w:val="num" w:pos="2160"/>
        </w:tabs>
        <w:ind w:left="2160" w:hanging="360"/>
      </w:pPr>
      <w:rPr>
        <w:rFonts w:ascii="Wingdings" w:hAnsi="Wingdings" w:hint="default"/>
      </w:rPr>
    </w:lvl>
    <w:lvl w:ilvl="3" w:tplc="4322BBDE" w:tentative="1">
      <w:start w:val="1"/>
      <w:numFmt w:val="bullet"/>
      <w:lvlText w:val=""/>
      <w:lvlJc w:val="left"/>
      <w:pPr>
        <w:tabs>
          <w:tab w:val="num" w:pos="2880"/>
        </w:tabs>
        <w:ind w:left="2880" w:hanging="360"/>
      </w:pPr>
      <w:rPr>
        <w:rFonts w:ascii="Symbol" w:hAnsi="Symbol" w:hint="default"/>
      </w:rPr>
    </w:lvl>
    <w:lvl w:ilvl="4" w:tplc="D630A57C" w:tentative="1">
      <w:start w:val="1"/>
      <w:numFmt w:val="bullet"/>
      <w:lvlText w:val="o"/>
      <w:lvlJc w:val="left"/>
      <w:pPr>
        <w:tabs>
          <w:tab w:val="num" w:pos="3600"/>
        </w:tabs>
        <w:ind w:left="3600" w:hanging="360"/>
      </w:pPr>
      <w:rPr>
        <w:rFonts w:ascii="Courier New" w:hAnsi="Courier New" w:hint="default"/>
      </w:rPr>
    </w:lvl>
    <w:lvl w:ilvl="5" w:tplc="290E6710" w:tentative="1">
      <w:start w:val="1"/>
      <w:numFmt w:val="bullet"/>
      <w:lvlText w:val=""/>
      <w:lvlJc w:val="left"/>
      <w:pPr>
        <w:tabs>
          <w:tab w:val="num" w:pos="4320"/>
        </w:tabs>
        <w:ind w:left="4320" w:hanging="360"/>
      </w:pPr>
      <w:rPr>
        <w:rFonts w:ascii="Wingdings" w:hAnsi="Wingdings" w:hint="default"/>
      </w:rPr>
    </w:lvl>
    <w:lvl w:ilvl="6" w:tplc="5AD046FC" w:tentative="1">
      <w:start w:val="1"/>
      <w:numFmt w:val="bullet"/>
      <w:lvlText w:val=""/>
      <w:lvlJc w:val="left"/>
      <w:pPr>
        <w:tabs>
          <w:tab w:val="num" w:pos="5040"/>
        </w:tabs>
        <w:ind w:left="5040" w:hanging="360"/>
      </w:pPr>
      <w:rPr>
        <w:rFonts w:ascii="Symbol" w:hAnsi="Symbol" w:hint="default"/>
      </w:rPr>
    </w:lvl>
    <w:lvl w:ilvl="7" w:tplc="A0C63318" w:tentative="1">
      <w:start w:val="1"/>
      <w:numFmt w:val="bullet"/>
      <w:lvlText w:val="o"/>
      <w:lvlJc w:val="left"/>
      <w:pPr>
        <w:tabs>
          <w:tab w:val="num" w:pos="5760"/>
        </w:tabs>
        <w:ind w:left="5760" w:hanging="360"/>
      </w:pPr>
      <w:rPr>
        <w:rFonts w:ascii="Courier New" w:hAnsi="Courier New" w:hint="default"/>
      </w:rPr>
    </w:lvl>
    <w:lvl w:ilvl="8" w:tplc="7E96A2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429E091E">
      <w:start w:val="1"/>
      <w:numFmt w:val="decimal"/>
      <w:pStyle w:val="References"/>
      <w:lvlText w:val="%1."/>
      <w:lvlJc w:val="left"/>
      <w:pPr>
        <w:tabs>
          <w:tab w:val="num" w:pos="360"/>
        </w:tabs>
        <w:ind w:left="360" w:hanging="360"/>
      </w:pPr>
      <w:rPr>
        <w:rFonts w:hint="default"/>
      </w:rPr>
    </w:lvl>
    <w:lvl w:ilvl="1" w:tplc="0BC84910">
      <w:start w:val="1"/>
      <w:numFmt w:val="lowerLetter"/>
      <w:lvlText w:val="%2."/>
      <w:lvlJc w:val="left"/>
      <w:pPr>
        <w:tabs>
          <w:tab w:val="num" w:pos="1620"/>
        </w:tabs>
        <w:ind w:left="1620" w:hanging="360"/>
      </w:pPr>
    </w:lvl>
    <w:lvl w:ilvl="2" w:tplc="77D83D2C" w:tentative="1">
      <w:start w:val="1"/>
      <w:numFmt w:val="lowerRoman"/>
      <w:lvlText w:val="%3."/>
      <w:lvlJc w:val="right"/>
      <w:pPr>
        <w:tabs>
          <w:tab w:val="num" w:pos="2340"/>
        </w:tabs>
        <w:ind w:left="2340" w:hanging="180"/>
      </w:pPr>
    </w:lvl>
    <w:lvl w:ilvl="3" w:tplc="0A129032" w:tentative="1">
      <w:start w:val="1"/>
      <w:numFmt w:val="decimal"/>
      <w:lvlText w:val="%4."/>
      <w:lvlJc w:val="left"/>
      <w:pPr>
        <w:tabs>
          <w:tab w:val="num" w:pos="3060"/>
        </w:tabs>
        <w:ind w:left="3060" w:hanging="360"/>
      </w:pPr>
    </w:lvl>
    <w:lvl w:ilvl="4" w:tplc="6978926A" w:tentative="1">
      <w:start w:val="1"/>
      <w:numFmt w:val="lowerLetter"/>
      <w:lvlText w:val="%5."/>
      <w:lvlJc w:val="left"/>
      <w:pPr>
        <w:tabs>
          <w:tab w:val="num" w:pos="3780"/>
        </w:tabs>
        <w:ind w:left="3780" w:hanging="360"/>
      </w:pPr>
    </w:lvl>
    <w:lvl w:ilvl="5" w:tplc="93D84318" w:tentative="1">
      <w:start w:val="1"/>
      <w:numFmt w:val="lowerRoman"/>
      <w:lvlText w:val="%6."/>
      <w:lvlJc w:val="right"/>
      <w:pPr>
        <w:tabs>
          <w:tab w:val="num" w:pos="4500"/>
        </w:tabs>
        <w:ind w:left="4500" w:hanging="180"/>
      </w:pPr>
    </w:lvl>
    <w:lvl w:ilvl="6" w:tplc="6CFEB436" w:tentative="1">
      <w:start w:val="1"/>
      <w:numFmt w:val="decimal"/>
      <w:lvlText w:val="%7."/>
      <w:lvlJc w:val="left"/>
      <w:pPr>
        <w:tabs>
          <w:tab w:val="num" w:pos="5220"/>
        </w:tabs>
        <w:ind w:left="5220" w:hanging="360"/>
      </w:pPr>
    </w:lvl>
    <w:lvl w:ilvl="7" w:tplc="F8A0CFE6" w:tentative="1">
      <w:start w:val="1"/>
      <w:numFmt w:val="lowerLetter"/>
      <w:lvlText w:val="%8."/>
      <w:lvlJc w:val="left"/>
      <w:pPr>
        <w:tabs>
          <w:tab w:val="num" w:pos="5940"/>
        </w:tabs>
        <w:ind w:left="5940" w:hanging="360"/>
      </w:pPr>
    </w:lvl>
    <w:lvl w:ilvl="8" w:tplc="4E26956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74CE7CEA">
      <w:start w:val="1"/>
      <w:numFmt w:val="bullet"/>
      <w:lvlText w:val=""/>
      <w:lvlJc w:val="left"/>
      <w:pPr>
        <w:tabs>
          <w:tab w:val="num" w:pos="720"/>
        </w:tabs>
        <w:ind w:left="720" w:hanging="360"/>
      </w:pPr>
      <w:rPr>
        <w:rFonts w:ascii="Symbol" w:hAnsi="Symbol" w:hint="default"/>
      </w:rPr>
    </w:lvl>
    <w:lvl w:ilvl="1" w:tplc="B49C53B4" w:tentative="1">
      <w:start w:val="1"/>
      <w:numFmt w:val="bullet"/>
      <w:lvlText w:val="o"/>
      <w:lvlJc w:val="left"/>
      <w:pPr>
        <w:tabs>
          <w:tab w:val="num" w:pos="1440"/>
        </w:tabs>
        <w:ind w:left="1440" w:hanging="360"/>
      </w:pPr>
      <w:rPr>
        <w:rFonts w:ascii="Courier New" w:hAnsi="Courier New" w:hint="default"/>
      </w:rPr>
    </w:lvl>
    <w:lvl w:ilvl="2" w:tplc="9EA83172" w:tentative="1">
      <w:start w:val="1"/>
      <w:numFmt w:val="bullet"/>
      <w:lvlText w:val=""/>
      <w:lvlJc w:val="left"/>
      <w:pPr>
        <w:tabs>
          <w:tab w:val="num" w:pos="2160"/>
        </w:tabs>
        <w:ind w:left="2160" w:hanging="360"/>
      </w:pPr>
      <w:rPr>
        <w:rFonts w:ascii="Wingdings" w:hAnsi="Wingdings" w:hint="default"/>
      </w:rPr>
    </w:lvl>
    <w:lvl w:ilvl="3" w:tplc="51DCE48A" w:tentative="1">
      <w:start w:val="1"/>
      <w:numFmt w:val="bullet"/>
      <w:lvlText w:val=""/>
      <w:lvlJc w:val="left"/>
      <w:pPr>
        <w:tabs>
          <w:tab w:val="num" w:pos="2880"/>
        </w:tabs>
        <w:ind w:left="2880" w:hanging="360"/>
      </w:pPr>
      <w:rPr>
        <w:rFonts w:ascii="Symbol" w:hAnsi="Symbol" w:hint="default"/>
      </w:rPr>
    </w:lvl>
    <w:lvl w:ilvl="4" w:tplc="23E6872C" w:tentative="1">
      <w:start w:val="1"/>
      <w:numFmt w:val="bullet"/>
      <w:lvlText w:val="o"/>
      <w:lvlJc w:val="left"/>
      <w:pPr>
        <w:tabs>
          <w:tab w:val="num" w:pos="3600"/>
        </w:tabs>
        <w:ind w:left="3600" w:hanging="360"/>
      </w:pPr>
      <w:rPr>
        <w:rFonts w:ascii="Courier New" w:hAnsi="Courier New" w:hint="default"/>
      </w:rPr>
    </w:lvl>
    <w:lvl w:ilvl="5" w:tplc="1DC4278E" w:tentative="1">
      <w:start w:val="1"/>
      <w:numFmt w:val="bullet"/>
      <w:lvlText w:val=""/>
      <w:lvlJc w:val="left"/>
      <w:pPr>
        <w:tabs>
          <w:tab w:val="num" w:pos="4320"/>
        </w:tabs>
        <w:ind w:left="4320" w:hanging="360"/>
      </w:pPr>
      <w:rPr>
        <w:rFonts w:ascii="Wingdings" w:hAnsi="Wingdings" w:hint="default"/>
      </w:rPr>
    </w:lvl>
    <w:lvl w:ilvl="6" w:tplc="C0142F88" w:tentative="1">
      <w:start w:val="1"/>
      <w:numFmt w:val="bullet"/>
      <w:lvlText w:val=""/>
      <w:lvlJc w:val="left"/>
      <w:pPr>
        <w:tabs>
          <w:tab w:val="num" w:pos="5040"/>
        </w:tabs>
        <w:ind w:left="5040" w:hanging="360"/>
      </w:pPr>
      <w:rPr>
        <w:rFonts w:ascii="Symbol" w:hAnsi="Symbol" w:hint="default"/>
      </w:rPr>
    </w:lvl>
    <w:lvl w:ilvl="7" w:tplc="D4A6976C" w:tentative="1">
      <w:start w:val="1"/>
      <w:numFmt w:val="bullet"/>
      <w:lvlText w:val="o"/>
      <w:lvlJc w:val="left"/>
      <w:pPr>
        <w:tabs>
          <w:tab w:val="num" w:pos="5760"/>
        </w:tabs>
        <w:ind w:left="5760" w:hanging="360"/>
      </w:pPr>
      <w:rPr>
        <w:rFonts w:ascii="Courier New" w:hAnsi="Courier New" w:hint="default"/>
      </w:rPr>
    </w:lvl>
    <w:lvl w:ilvl="8" w:tplc="AC40C0E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tzQ2NQJCC1MDQyUdpeDU4uLM/DyQAotaAEudcLYsAAAA"/>
  </w:docVars>
  <w:rsids>
    <w:rsidRoot w:val="00FA23DE"/>
    <w:rsid w:val="00021BE8"/>
    <w:rsid w:val="00063B72"/>
    <w:rsid w:val="00074866"/>
    <w:rsid w:val="00083982"/>
    <w:rsid w:val="00090517"/>
    <w:rsid w:val="000C6D9B"/>
    <w:rsid w:val="001005A6"/>
    <w:rsid w:val="00104A8A"/>
    <w:rsid w:val="001411D4"/>
    <w:rsid w:val="00160070"/>
    <w:rsid w:val="0017477C"/>
    <w:rsid w:val="00183442"/>
    <w:rsid w:val="00191D38"/>
    <w:rsid w:val="00192EA2"/>
    <w:rsid w:val="00194820"/>
    <w:rsid w:val="001D3369"/>
    <w:rsid w:val="00247FCC"/>
    <w:rsid w:val="00274166"/>
    <w:rsid w:val="0028254D"/>
    <w:rsid w:val="00287AFF"/>
    <w:rsid w:val="00316750"/>
    <w:rsid w:val="0039277D"/>
    <w:rsid w:val="003C6CE3"/>
    <w:rsid w:val="0043325B"/>
    <w:rsid w:val="0047543A"/>
    <w:rsid w:val="004A675F"/>
    <w:rsid w:val="004C048E"/>
    <w:rsid w:val="004E1D04"/>
    <w:rsid w:val="005155B2"/>
    <w:rsid w:val="00554B44"/>
    <w:rsid w:val="00584DAF"/>
    <w:rsid w:val="00596B11"/>
    <w:rsid w:val="005A332D"/>
    <w:rsid w:val="005A5112"/>
    <w:rsid w:val="005B008C"/>
    <w:rsid w:val="005C6706"/>
    <w:rsid w:val="00601747"/>
    <w:rsid w:val="00621385"/>
    <w:rsid w:val="00644545"/>
    <w:rsid w:val="006518E9"/>
    <w:rsid w:val="00655329"/>
    <w:rsid w:val="00667B5A"/>
    <w:rsid w:val="00677283"/>
    <w:rsid w:val="006978FB"/>
    <w:rsid w:val="006B7CDF"/>
    <w:rsid w:val="006D2CD3"/>
    <w:rsid w:val="006F0BC5"/>
    <w:rsid w:val="00723164"/>
    <w:rsid w:val="00725440"/>
    <w:rsid w:val="00726C64"/>
    <w:rsid w:val="00736717"/>
    <w:rsid w:val="007367A6"/>
    <w:rsid w:val="00755939"/>
    <w:rsid w:val="00767694"/>
    <w:rsid w:val="00775738"/>
    <w:rsid w:val="007C7F83"/>
    <w:rsid w:val="00805571"/>
    <w:rsid w:val="00812040"/>
    <w:rsid w:val="008674F6"/>
    <w:rsid w:val="00892386"/>
    <w:rsid w:val="008A5720"/>
    <w:rsid w:val="008E6ACF"/>
    <w:rsid w:val="0091149B"/>
    <w:rsid w:val="009306A1"/>
    <w:rsid w:val="009355B7"/>
    <w:rsid w:val="0095669D"/>
    <w:rsid w:val="00967808"/>
    <w:rsid w:val="0097442F"/>
    <w:rsid w:val="00995C63"/>
    <w:rsid w:val="009B581D"/>
    <w:rsid w:val="00A0711B"/>
    <w:rsid w:val="00A23A5F"/>
    <w:rsid w:val="00A242D1"/>
    <w:rsid w:val="00A366E3"/>
    <w:rsid w:val="00A46156"/>
    <w:rsid w:val="00A72198"/>
    <w:rsid w:val="00A92A75"/>
    <w:rsid w:val="00A93BC3"/>
    <w:rsid w:val="00A96D21"/>
    <w:rsid w:val="00AD0D0A"/>
    <w:rsid w:val="00B02B7D"/>
    <w:rsid w:val="00B149C9"/>
    <w:rsid w:val="00B64940"/>
    <w:rsid w:val="00B77731"/>
    <w:rsid w:val="00BC0D16"/>
    <w:rsid w:val="00BF3168"/>
    <w:rsid w:val="00C244A2"/>
    <w:rsid w:val="00C25FE6"/>
    <w:rsid w:val="00C37FA1"/>
    <w:rsid w:val="00C5111B"/>
    <w:rsid w:val="00C57D9A"/>
    <w:rsid w:val="00C82F4D"/>
    <w:rsid w:val="00C932E2"/>
    <w:rsid w:val="00CA0507"/>
    <w:rsid w:val="00CF743C"/>
    <w:rsid w:val="00D351D8"/>
    <w:rsid w:val="00DC1E79"/>
    <w:rsid w:val="00DC2AFA"/>
    <w:rsid w:val="00DC69F1"/>
    <w:rsid w:val="00DD331C"/>
    <w:rsid w:val="00DE39DF"/>
    <w:rsid w:val="00E034D7"/>
    <w:rsid w:val="00E046B2"/>
    <w:rsid w:val="00E079AE"/>
    <w:rsid w:val="00E24FA2"/>
    <w:rsid w:val="00E74D86"/>
    <w:rsid w:val="00E9636B"/>
    <w:rsid w:val="00EB5CCD"/>
    <w:rsid w:val="00EE5954"/>
    <w:rsid w:val="00EE7E14"/>
    <w:rsid w:val="00EF156A"/>
    <w:rsid w:val="00EF7AE6"/>
    <w:rsid w:val="00F06BBD"/>
    <w:rsid w:val="00F344CF"/>
    <w:rsid w:val="00F553A4"/>
    <w:rsid w:val="00F6759C"/>
    <w:rsid w:val="00F70B31"/>
    <w:rsid w:val="00F9672F"/>
    <w:rsid w:val="00FA23DE"/>
    <w:rsid w:val="00FA59B0"/>
    <w:rsid w:val="00FB56D1"/>
    <w:rsid w:val="00FC73E0"/>
    <w:rsid w:val="00FE1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8118A"/>
  <w15:docId w15:val="{F18F3905-ABFC-4891-A0A4-B9CD891B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semiHidden/>
    <w:unhideWhenUsed/>
    <w:rsid w:val="009355B7"/>
    <w:pPr>
      <w:spacing w:before="100" w:beforeAutospacing="1" w:after="100" w:afterAutospacing="1"/>
    </w:pPr>
    <w:rPr>
      <w:sz w:val="24"/>
      <w:szCs w:val="24"/>
      <w:lang w:eastAsia="en-GB"/>
    </w:rPr>
  </w:style>
  <w:style w:type="character" w:styleId="Emphasis">
    <w:name w:val="Emphasis"/>
    <w:basedOn w:val="DefaultParagraphFont"/>
    <w:qFormat/>
    <w:rsid w:val="00EF7AE6"/>
    <w:rPr>
      <w:i/>
      <w:iCs/>
    </w:rPr>
  </w:style>
  <w:style w:type="paragraph" w:styleId="Caption">
    <w:name w:val="caption"/>
    <w:aliases w:val="RSC_WP (caption for figures and tables)"/>
    <w:basedOn w:val="Normal"/>
    <w:next w:val="Normal"/>
    <w:uiPriority w:val="35"/>
    <w:unhideWhenUsed/>
    <w:qFormat/>
    <w:rsid w:val="00E034D7"/>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F0BC5"/>
    <w:rPr>
      <w:sz w:val="16"/>
      <w:szCs w:val="16"/>
    </w:rPr>
  </w:style>
  <w:style w:type="paragraph" w:styleId="CommentText">
    <w:name w:val="annotation text"/>
    <w:basedOn w:val="Normal"/>
    <w:link w:val="CommentTextChar"/>
    <w:uiPriority w:val="99"/>
    <w:semiHidden/>
    <w:unhideWhenUsed/>
    <w:rsid w:val="006F0BC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F0BC5"/>
    <w:rPr>
      <w:rFonts w:asciiTheme="minorHAnsi" w:eastAsiaTheme="minorHAnsi" w:hAnsiTheme="minorHAnsi" w:cstheme="minorBidi"/>
      <w:lang w:val="en-GB"/>
    </w:rPr>
  </w:style>
  <w:style w:type="paragraph" w:styleId="BalloonText">
    <w:name w:val="Balloon Text"/>
    <w:basedOn w:val="Normal"/>
    <w:link w:val="BalloonTextChar"/>
    <w:semiHidden/>
    <w:unhideWhenUsed/>
    <w:rsid w:val="006F0BC5"/>
    <w:rPr>
      <w:rFonts w:ascii="Segoe UI" w:hAnsi="Segoe UI" w:cs="Segoe UI"/>
      <w:sz w:val="18"/>
      <w:szCs w:val="18"/>
    </w:rPr>
  </w:style>
  <w:style w:type="character" w:customStyle="1" w:styleId="BalloonTextChar">
    <w:name w:val="Balloon Text Char"/>
    <w:basedOn w:val="DefaultParagraphFont"/>
    <w:link w:val="BalloonText"/>
    <w:semiHidden/>
    <w:rsid w:val="006F0B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7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hir.Nouicer@EUI.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k.delarue@kuleuven.be" TargetMode="External"/><Relationship Id="rId4" Type="http://schemas.openxmlformats.org/officeDocument/2006/relationships/settings" Target="settings.xml"/><Relationship Id="rId9" Type="http://schemas.openxmlformats.org/officeDocument/2006/relationships/hyperlink" Target="mailto:Leonardo.Meeus@vlerick.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ouicer\Desktop\tim_model\Levels_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ouicer\Desktop\tim_model\Levels_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Sheet1!$N$7</c:f>
              <c:strCache>
                <c:ptCount val="1"/>
                <c:pt idx="0">
                  <c:v>grid cost savings</c:v>
                </c:pt>
              </c:strCache>
            </c:strRef>
          </c:tx>
          <c:spPr>
            <a:ln w="28575" cap="rnd">
              <a:solidFill>
                <a:schemeClr val="accent2"/>
              </a:solidFill>
              <a:round/>
            </a:ln>
            <a:effectLst/>
          </c:spPr>
          <c:marker>
            <c:symbol val="none"/>
          </c:marker>
          <c:cat>
            <c:numRef>
              <c:f>Sheet1!$L$8:$L$23</c:f>
              <c:numCache>
                <c:formatCode>0%</c:formatCode>
                <c:ptCount val="16"/>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pt idx="11">
                  <c:v>0.2</c:v>
                </c:pt>
                <c:pt idx="12">
                  <c:v>0.3</c:v>
                </c:pt>
                <c:pt idx="13">
                  <c:v>0.5</c:v>
                </c:pt>
                <c:pt idx="14">
                  <c:v>0.6</c:v>
                </c:pt>
                <c:pt idx="15">
                  <c:v>1</c:v>
                </c:pt>
              </c:numCache>
            </c:numRef>
          </c:cat>
          <c:val>
            <c:numRef>
              <c:f>Sheet1!$N$8:$N$23</c:f>
              <c:numCache>
                <c:formatCode>0%</c:formatCode>
                <c:ptCount val="16"/>
                <c:pt idx="0">
                  <c:v>0</c:v>
                </c:pt>
                <c:pt idx="1">
                  <c:v>0.30435254047104948</c:v>
                </c:pt>
                <c:pt idx="2">
                  <c:v>0.54324847663262699</c:v>
                </c:pt>
                <c:pt idx="3">
                  <c:v>0.6225231199103709</c:v>
                </c:pt>
                <c:pt idx="4">
                  <c:v>0.71647854857734383</c:v>
                </c:pt>
                <c:pt idx="5">
                  <c:v>0.74706608783399442</c:v>
                </c:pt>
                <c:pt idx="6">
                  <c:v>0.75415077620496573</c:v>
                </c:pt>
                <c:pt idx="7">
                  <c:v>0.75456227266669984</c:v>
                </c:pt>
                <c:pt idx="8">
                  <c:v>0.7613587655433488</c:v>
                </c:pt>
                <c:pt idx="9">
                  <c:v>0.79014966945764908</c:v>
                </c:pt>
                <c:pt idx="10">
                  <c:v>0.79673385287243326</c:v>
                </c:pt>
                <c:pt idx="11">
                  <c:v>0.84415074287668201</c:v>
                </c:pt>
                <c:pt idx="12">
                  <c:v>0.96389004302498515</c:v>
                </c:pt>
                <c:pt idx="13">
                  <c:v>0.97494608717231535</c:v>
                </c:pt>
                <c:pt idx="14">
                  <c:v>0.97851191044035735</c:v>
                </c:pt>
                <c:pt idx="15">
                  <c:v>1</c:v>
                </c:pt>
              </c:numCache>
            </c:numRef>
          </c:val>
          <c:smooth val="0"/>
          <c:extLst>
            <c:ext xmlns:c16="http://schemas.microsoft.com/office/drawing/2014/chart" uri="{C3380CC4-5D6E-409C-BE32-E72D297353CC}">
              <c16:uniqueId val="{00000000-E240-4A52-9706-A545A322F658}"/>
            </c:ext>
          </c:extLst>
        </c:ser>
        <c:dLbls>
          <c:showLegendKey val="0"/>
          <c:showVal val="0"/>
          <c:showCatName val="0"/>
          <c:showSerName val="0"/>
          <c:showPercent val="0"/>
          <c:showBubbleSize val="0"/>
        </c:dLbls>
        <c:smooth val="0"/>
        <c:axId val="824469327"/>
        <c:axId val="824470575"/>
      </c:lineChart>
      <c:catAx>
        <c:axId val="824469327"/>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b="0" i="0" baseline="0" dirty="0">
                    <a:effectLst/>
                  </a:rPr>
                  <a:t>Demand-side flexibility levels</a:t>
                </a:r>
                <a:endParaRPr lang="en-GB" sz="800" dirty="0">
                  <a:effectLst/>
                </a:endParaRP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4470575"/>
        <c:crosses val="autoZero"/>
        <c:auto val="1"/>
        <c:lblAlgn val="ctr"/>
        <c:lblOffset val="100"/>
        <c:noMultiLvlLbl val="0"/>
      </c:catAx>
      <c:valAx>
        <c:axId val="8244705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b="0" i="0" baseline="0" dirty="0">
                    <a:effectLst/>
                  </a:rPr>
                  <a:t>Percentage of network cost savings</a:t>
                </a:r>
                <a:endParaRPr lang="en-GB" sz="800" dirty="0">
                  <a:effectLst/>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44693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Sheet1!$Z$7</c:f>
              <c:strCache>
                <c:ptCount val="1"/>
                <c:pt idx="0">
                  <c:v>welfare</c:v>
                </c:pt>
              </c:strCache>
            </c:strRef>
          </c:tx>
          <c:spPr>
            <a:solidFill>
              <a:schemeClr val="accent1"/>
            </a:solidFill>
            <a:ln>
              <a:noFill/>
            </a:ln>
            <a:effectLst/>
          </c:spPr>
          <c:invertIfNegative val="0"/>
          <c:cat>
            <c:numRef>
              <c:f>Sheet1!$V$8:$V$18</c:f>
              <c:numCache>
                <c:formatCode>0%</c:formatCode>
                <c:ptCount val="11"/>
                <c:pt idx="0">
                  <c:v>0</c:v>
                </c:pt>
                <c:pt idx="1">
                  <c:v>0.01</c:v>
                </c:pt>
                <c:pt idx="2">
                  <c:v>0.02</c:v>
                </c:pt>
                <c:pt idx="3">
                  <c:v>0.03</c:v>
                </c:pt>
                <c:pt idx="4">
                  <c:v>0.04</c:v>
                </c:pt>
                <c:pt idx="5">
                  <c:v>0.05</c:v>
                </c:pt>
                <c:pt idx="6">
                  <c:v>6.0000000000000005E-2</c:v>
                </c:pt>
                <c:pt idx="7">
                  <c:v>7.0000000000000007E-2</c:v>
                </c:pt>
                <c:pt idx="8">
                  <c:v>0.08</c:v>
                </c:pt>
                <c:pt idx="9">
                  <c:v>0.09</c:v>
                </c:pt>
                <c:pt idx="10">
                  <c:v>9.9999999999999992E-2</c:v>
                </c:pt>
              </c:numCache>
            </c:numRef>
          </c:cat>
          <c:val>
            <c:numRef>
              <c:f>Sheet1!$Z$8:$Z$18</c:f>
              <c:numCache>
                <c:formatCode>General</c:formatCode>
                <c:ptCount val="11"/>
                <c:pt idx="0">
                  <c:v>23340</c:v>
                </c:pt>
                <c:pt idx="1">
                  <c:v>23500.133000000002</c:v>
                </c:pt>
                <c:pt idx="2">
                  <c:v>23661.949000000001</c:v>
                </c:pt>
                <c:pt idx="3">
                  <c:v>23537.911</c:v>
                </c:pt>
                <c:pt idx="4">
                  <c:v>23471.69</c:v>
                </c:pt>
                <c:pt idx="5">
                  <c:v>23219.924999999999</c:v>
                </c:pt>
                <c:pt idx="6">
                  <c:v>23001.983</c:v>
                </c:pt>
                <c:pt idx="7">
                  <c:v>22700.212</c:v>
                </c:pt>
                <c:pt idx="8" formatCode="0.00E+00">
                  <c:v>22482.826000000001</c:v>
                </c:pt>
                <c:pt idx="9" formatCode="0.00E+00">
                  <c:v>22243.988000000001</c:v>
                </c:pt>
                <c:pt idx="10" formatCode="0.00E+00">
                  <c:v>22019.644</c:v>
                </c:pt>
              </c:numCache>
            </c:numRef>
          </c:val>
          <c:extLst>
            <c:ext xmlns:c16="http://schemas.microsoft.com/office/drawing/2014/chart" uri="{C3380CC4-5D6E-409C-BE32-E72D297353CC}">
              <c16:uniqueId val="{00000000-CAEB-4888-94A6-E86A9A7818A8}"/>
            </c:ext>
          </c:extLst>
        </c:ser>
        <c:dLbls>
          <c:showLegendKey val="0"/>
          <c:showVal val="0"/>
          <c:showCatName val="0"/>
          <c:showSerName val="0"/>
          <c:showPercent val="0"/>
          <c:showBubbleSize val="0"/>
        </c:dLbls>
        <c:gapWidth val="219"/>
        <c:overlap val="-27"/>
        <c:axId val="1832940863"/>
        <c:axId val="1832943359"/>
      </c:barChart>
      <c:catAx>
        <c:axId val="18329408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dirty="0"/>
                  <a:t>Demand-side flexibility levels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943359"/>
        <c:crosses val="autoZero"/>
        <c:auto val="1"/>
        <c:lblAlgn val="ctr"/>
        <c:lblOffset val="100"/>
        <c:noMultiLvlLbl val="0"/>
      </c:catAx>
      <c:valAx>
        <c:axId val="1832943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dirty="0"/>
                  <a:t>System Welfare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9408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0DA7-A612-4A80-8C56-5023B48E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6009</Words>
  <Characters>34253</Characters>
  <Application>Microsoft Office Word</Application>
  <DocSecurity>0</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Nouicer, Athir</cp:lastModifiedBy>
  <cp:revision>2</cp:revision>
  <cp:lastPrinted>2012-01-19T09:58:00Z</cp:lastPrinted>
  <dcterms:created xsi:type="dcterms:W3CDTF">2021-03-31T21:51:00Z</dcterms:created>
  <dcterms:modified xsi:type="dcterms:W3CDTF">2021-03-31T21:51:00Z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http://www.zotero.org/styles/edward-elgar-business-and-social-sciences</vt:lpwstr>
  </property>
  <property fmtid="{D5CDD505-2E9C-101B-9397-08002B2CF9AE}" pid="13" name="Mendeley Recent Style Name 5_1">
    <vt:lpwstr>Edward Elgar Publishing - Business and Social Sciences</vt:lpwstr>
  </property>
  <property fmtid="{D5CDD505-2E9C-101B-9397-08002B2CF9AE}" pid="14" name="Mendeley Recent Style Id 6_1">
    <vt:lpwstr>http://www.zotero.org/styles/energy-economics</vt:lpwstr>
  </property>
  <property fmtid="{D5CDD505-2E9C-101B-9397-08002B2CF9AE}" pid="15" name="Mendeley Recent Style Name 6_1">
    <vt:lpwstr>Energy Economics</vt:lpwstr>
  </property>
  <property fmtid="{D5CDD505-2E9C-101B-9397-08002B2CF9AE}" pid="16" name="Mendeley Recent Style Id 7_1">
    <vt:lpwstr>http://www.zotero.org/styles/energy-policy</vt:lpwstr>
  </property>
  <property fmtid="{D5CDD505-2E9C-101B-9397-08002B2CF9AE}" pid="17" name="Mendeley Recent Style Name 7_1">
    <vt:lpwstr>Energy Policy</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ef84dd37-9ee9-34bc-8b70-9efd449a880b</vt:lpwstr>
  </property>
  <property fmtid="{D5CDD505-2E9C-101B-9397-08002B2CF9AE}" pid="24" name="Mendeley Citation Style_1">
    <vt:lpwstr>http://www.zotero.org/styles/energy-economics</vt:lpwstr>
  </property>
</Properties>
</file>