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E3500A">
      <w:pPr>
        <w:framePr w:w="11125" w:h="2481" w:hRule="exact" w:hSpace="187" w:wrap="auto" w:vAnchor="page" w:hAnchor="page" w:x="714" w:y="1085"/>
        <w:jc w:val="center"/>
      </w:pPr>
      <w:bookmarkStart w:id="0" w:name="_GoBack"/>
      <w:bookmarkEnd w:id="0"/>
      <w:r>
        <w:t xml:space="preserve">       </w:t>
      </w:r>
      <w:r>
        <w:tab/>
      </w:r>
      <w:r>
        <w:tab/>
      </w:r>
      <w:r>
        <w:tab/>
      </w:r>
      <w:r>
        <w:tab/>
      </w:r>
      <w:r>
        <w:tab/>
      </w:r>
      <w:r>
        <w:tab/>
      </w:r>
      <w:r>
        <w:tab/>
      </w:r>
      <w:r>
        <w:tab/>
      </w:r>
      <w:r>
        <w:tab/>
        <w:t xml:space="preserve">                                                 </w:t>
      </w:r>
      <w:r>
        <w:tab/>
      </w:r>
    </w:p>
    <w:p w:rsidR="00204A48" w:rsidRDefault="007664A5" w:rsidP="00E3500A">
      <w:pPr>
        <w:framePr w:w="11125" w:h="2481" w:hRule="exact" w:hSpace="187" w:wrap="auto" w:vAnchor="page" w:hAnchor="page" w:x="714" w:y="1085"/>
        <w:jc w:val="center"/>
        <w:rPr>
          <w:b/>
          <w:bCs/>
          <w:i/>
          <w:sz w:val="28"/>
          <w:szCs w:val="32"/>
        </w:rPr>
      </w:pPr>
      <w:r>
        <w:rPr>
          <w:b/>
          <w:bCs/>
          <w:i/>
          <w:sz w:val="28"/>
          <w:szCs w:val="32"/>
        </w:rPr>
        <w:t>PROSPECTIVE IN THE GLOBAL VALUE OF LITHIUM ION BATTERY: A CRITICICALITY ANALYSIS</w:t>
      </w:r>
    </w:p>
    <w:p w:rsidR="00204A48" w:rsidRPr="00204A48" w:rsidRDefault="00204A48" w:rsidP="00E3500A">
      <w:pPr>
        <w:framePr w:w="11125" w:h="2481" w:hRule="exact" w:hSpace="187" w:wrap="auto" w:vAnchor="page" w:hAnchor="page" w:x="714" w:y="1085"/>
        <w:jc w:val="center"/>
        <w:rPr>
          <w:b/>
          <w:i/>
          <w:sz w:val="28"/>
          <w:szCs w:val="32"/>
        </w:rPr>
      </w:pPr>
    </w:p>
    <w:p w:rsidR="00DC69F1" w:rsidRPr="00204A48" w:rsidRDefault="00647201" w:rsidP="00E3500A">
      <w:pPr>
        <w:pStyle w:val="Corpsdetexte"/>
        <w:framePr w:w="11125" w:h="2481" w:hRule="exact" w:hSpace="187" w:wrap="auto" w:vAnchor="page" w:hAnchor="page" w:x="714" w:y="1085"/>
        <w:ind w:left="2880"/>
        <w:rPr>
          <w:sz w:val="20"/>
          <w:lang w:val="fr-FR"/>
        </w:rPr>
      </w:pPr>
      <w:r>
        <w:rPr>
          <w:sz w:val="20"/>
          <w:lang w:val="fr-FR"/>
        </w:rPr>
        <w:t>Dr</w:t>
      </w:r>
      <w:r w:rsidR="009628BB">
        <w:rPr>
          <w:sz w:val="20"/>
          <w:lang w:val="fr-FR"/>
        </w:rPr>
        <w:t>.</w:t>
      </w:r>
      <w:r>
        <w:rPr>
          <w:sz w:val="20"/>
          <w:lang w:val="fr-FR"/>
        </w:rPr>
        <w:t xml:space="preserve"> </w:t>
      </w:r>
      <w:r w:rsidR="00204A48" w:rsidRPr="00204A48">
        <w:rPr>
          <w:sz w:val="20"/>
          <w:lang w:val="fr-FR"/>
        </w:rPr>
        <w:t xml:space="preserve">Emmanuel HACHE, IFP Energies nouvelles, + 33 147 52 67 49, </w:t>
      </w:r>
      <w:hyperlink r:id="rId8" w:history="1">
        <w:r w:rsidR="00204A48" w:rsidRPr="00204A48">
          <w:rPr>
            <w:rStyle w:val="Lienhypertexte"/>
            <w:sz w:val="20"/>
            <w:lang w:val="fr-FR"/>
          </w:rPr>
          <w:t>emmanuel.hache@ifpen.fr</w:t>
        </w:r>
      </w:hyperlink>
      <w:r w:rsidR="00204A48" w:rsidRPr="00204A48">
        <w:rPr>
          <w:sz w:val="20"/>
          <w:lang w:val="fr-FR"/>
        </w:rPr>
        <w:t xml:space="preserve">   </w:t>
      </w:r>
      <w:r w:rsidR="00DC69F1" w:rsidRPr="00204A48">
        <w:rPr>
          <w:sz w:val="20"/>
          <w:lang w:val="fr-FR"/>
        </w:rPr>
        <w:t xml:space="preserve"> </w:t>
      </w:r>
    </w:p>
    <w:p w:rsidR="00DC69F1" w:rsidRPr="00204A48" w:rsidRDefault="009628BB" w:rsidP="00E3500A">
      <w:pPr>
        <w:pStyle w:val="Corpsdetexte"/>
        <w:framePr w:w="11125" w:h="2481" w:hRule="exact" w:hSpace="187" w:wrap="auto" w:vAnchor="page" w:hAnchor="page" w:x="714" w:y="1085"/>
        <w:jc w:val="right"/>
        <w:rPr>
          <w:sz w:val="20"/>
          <w:lang w:val="fr-FR"/>
        </w:rPr>
      </w:pPr>
      <w:r>
        <w:rPr>
          <w:sz w:val="20"/>
          <w:lang w:val="fr-FR"/>
        </w:rPr>
        <w:t xml:space="preserve">Dr. </w:t>
      </w:r>
      <w:r w:rsidR="00F3758D">
        <w:rPr>
          <w:sz w:val="20"/>
          <w:lang w:val="fr-FR"/>
        </w:rPr>
        <w:t>Gondia</w:t>
      </w:r>
      <w:r>
        <w:rPr>
          <w:sz w:val="20"/>
          <w:lang w:val="fr-FR"/>
        </w:rPr>
        <w:t xml:space="preserve"> </w:t>
      </w:r>
      <w:r w:rsidR="00204A48" w:rsidRPr="00204A48">
        <w:rPr>
          <w:sz w:val="20"/>
          <w:lang w:val="fr-FR"/>
        </w:rPr>
        <w:t xml:space="preserve">Sokhna SECK, IFP Energies nouvelles, </w:t>
      </w:r>
      <w:hyperlink r:id="rId9" w:history="1">
        <w:r w:rsidR="00204A48" w:rsidRPr="00204A48">
          <w:rPr>
            <w:rStyle w:val="Lienhypertexte"/>
            <w:sz w:val="20"/>
            <w:lang w:val="fr-FR"/>
          </w:rPr>
          <w:t>gondia-sokhna.seck@ifpen.fr</w:t>
        </w:r>
      </w:hyperlink>
      <w:r w:rsidR="00204A48" w:rsidRPr="00204A48">
        <w:rPr>
          <w:sz w:val="20"/>
          <w:lang w:val="fr-FR"/>
        </w:rPr>
        <w:t xml:space="preserve"> </w:t>
      </w:r>
      <w:r w:rsidR="00DC69F1" w:rsidRPr="00204A48">
        <w:rPr>
          <w:sz w:val="20"/>
          <w:lang w:val="fr-FR"/>
        </w:rPr>
        <w:t xml:space="preserve"> </w:t>
      </w:r>
    </w:p>
    <w:p w:rsidR="00DC69F1" w:rsidRPr="00204A48" w:rsidRDefault="00DC69F1">
      <w:pPr>
        <w:pStyle w:val="copyright"/>
        <w:rPr>
          <w:lang w:val="fr-FR"/>
        </w:rPr>
      </w:pPr>
    </w:p>
    <w:p w:rsidR="00DC69F1" w:rsidRPr="007664A5" w:rsidRDefault="00DC69F1" w:rsidP="00DC69F1">
      <w:pPr>
        <w:pStyle w:val="Titre2"/>
        <w:ind w:left="-810" w:firstLine="810"/>
        <w:rPr>
          <w:i w:val="0"/>
          <w:sz w:val="24"/>
          <w:szCs w:val="24"/>
          <w:lang w:val="en-US"/>
        </w:rPr>
      </w:pPr>
      <w:r w:rsidRPr="007664A5">
        <w:rPr>
          <w:i w:val="0"/>
          <w:sz w:val="24"/>
          <w:szCs w:val="24"/>
          <w:lang w:val="en-US"/>
        </w:rPr>
        <w:t>Overview</w:t>
      </w:r>
    </w:p>
    <w:p w:rsidR="00204A48" w:rsidRPr="00204A48" w:rsidRDefault="00204A48" w:rsidP="00204A48">
      <w:pPr>
        <w:jc w:val="both"/>
      </w:pPr>
      <w:r w:rsidRPr="00204A48">
        <w:rPr>
          <w:lang w:eastAsia="fr-FR"/>
        </w:rPr>
        <w:t xml:space="preserve">The aim of this article is to study the impact of a massive diffusion of electric vehicles in the world transportation sector on the </w:t>
      </w:r>
      <w:r w:rsidR="007664A5">
        <w:rPr>
          <w:lang w:eastAsia="fr-FR"/>
        </w:rPr>
        <w:t>lithium-ion battery</w:t>
      </w:r>
      <w:r w:rsidRPr="00204A48">
        <w:rPr>
          <w:lang w:eastAsia="fr-FR"/>
        </w:rPr>
        <w:t xml:space="preserve">. </w:t>
      </w:r>
      <w:r w:rsidR="007664A5">
        <w:rPr>
          <w:lang w:eastAsia="fr-FR"/>
        </w:rPr>
        <w:t xml:space="preserve">All the </w:t>
      </w:r>
      <w:r w:rsidR="00686670">
        <w:rPr>
          <w:lang w:eastAsia="fr-FR"/>
        </w:rPr>
        <w:t xml:space="preserve">material </w:t>
      </w:r>
      <w:r w:rsidR="007664A5">
        <w:rPr>
          <w:lang w:eastAsia="fr-FR"/>
        </w:rPr>
        <w:t>components of the lithium-ion battery (copper, nickel, cobalt and lithium) have</w:t>
      </w:r>
      <w:r w:rsidRPr="00204A48">
        <w:rPr>
          <w:lang w:eastAsia="fr-FR"/>
        </w:rPr>
        <w:t xml:space="preserve"> found new markets in the context of the energy transition.</w:t>
      </w:r>
      <w:r w:rsidRPr="00204A48">
        <w:rPr>
          <w:lang w:val="en-US"/>
        </w:rPr>
        <w:t xml:space="preserve"> </w:t>
      </w:r>
      <w:r w:rsidRPr="00204A48">
        <w:rPr>
          <w:lang w:eastAsia="fr-FR"/>
        </w:rPr>
        <w:t xml:space="preserve">Hence, the capacity of those strategic materials to supply these new markets can be questioned. </w:t>
      </w:r>
      <w:r w:rsidRPr="00204A48">
        <w:t xml:space="preserve">To achieve this goal, we have developed the first detailed global bottom-up energy model, TIAM-IFPEN (Times Integrated Assessment Model-IFPEN) with an endogenous disaggregated life-cycle inventories. It would clearly assess the dynamic criticality of </w:t>
      </w:r>
      <w:r w:rsidR="007664A5">
        <w:rPr>
          <w:lang w:eastAsia="fr-FR"/>
        </w:rPr>
        <w:t>nickel, cobalt</w:t>
      </w:r>
      <w:r w:rsidR="00972DB0">
        <w:rPr>
          <w:lang w:eastAsia="fr-FR"/>
        </w:rPr>
        <w:t xml:space="preserve">, </w:t>
      </w:r>
      <w:r w:rsidR="007664A5">
        <w:rPr>
          <w:lang w:eastAsia="fr-FR"/>
        </w:rPr>
        <w:t>lithium</w:t>
      </w:r>
      <w:r w:rsidR="00972DB0">
        <w:rPr>
          <w:lang w:eastAsia="fr-FR"/>
        </w:rPr>
        <w:t xml:space="preserve"> and copper (present in the car body)</w:t>
      </w:r>
      <w:r w:rsidR="007664A5" w:rsidRPr="00204A48">
        <w:t xml:space="preserve"> </w:t>
      </w:r>
      <w:r w:rsidRPr="00204A48">
        <w:t xml:space="preserve">according to the optimal technology paths with environmental and/or energy solicitations through different approaches: geological, geopolitical, and economic towards a sustainable development. Four scenarios have been run taking into account two climate scenarios (4°C and 2°C) with two shapes of mobility each: a </w:t>
      </w:r>
      <w:r w:rsidR="00686670">
        <w:t>BAU</w:t>
      </w:r>
      <w:r w:rsidR="00686670" w:rsidRPr="00204A48">
        <w:t xml:space="preserve"> </w:t>
      </w:r>
      <w:r w:rsidRPr="00204A48">
        <w:t xml:space="preserve">mobility where we assume </w:t>
      </w:r>
      <w:r w:rsidR="00AF117F" w:rsidRPr="00AF117F">
        <w:t xml:space="preserve">a continuous increase of the ownership </w:t>
      </w:r>
      <w:r w:rsidR="00AF117F">
        <w:t xml:space="preserve">rate and </w:t>
      </w:r>
      <w:r w:rsidRPr="00204A48">
        <w:t xml:space="preserve"> a huge car dependence/usage, and a </w:t>
      </w:r>
      <w:r w:rsidR="00AF117F">
        <w:t>Sustainable</w:t>
      </w:r>
      <w:r w:rsidRPr="00204A48">
        <w:t xml:space="preserve"> mobility where the idea of a sustainability in mobility is assumed</w:t>
      </w:r>
      <w:r w:rsidR="00742552">
        <w:t xml:space="preserve"> </w:t>
      </w:r>
      <w:r w:rsidR="00742552" w:rsidRPr="00742552">
        <w:t>due to stronger fiscal and regulatory policies</w:t>
      </w:r>
      <w:r w:rsidRPr="00204A48">
        <w:t>. The penetration of electric vehicle</w:t>
      </w:r>
      <w:r w:rsidR="00742552">
        <w:t>s</w:t>
      </w:r>
      <w:r w:rsidRPr="00204A48">
        <w:t xml:space="preserve"> (EV</w:t>
      </w:r>
      <w:r w:rsidR="00742552">
        <w:t>s</w:t>
      </w:r>
      <w:r w:rsidRPr="00204A48">
        <w:t xml:space="preserve">) at the global level would push the demand of </w:t>
      </w:r>
      <w:r w:rsidR="00742552">
        <w:t>cumulative</w:t>
      </w:r>
      <w:r w:rsidR="00742552" w:rsidRPr="00204A48">
        <w:t xml:space="preserve"> </w:t>
      </w:r>
      <w:r w:rsidR="007664A5">
        <w:t>materials</w:t>
      </w:r>
      <w:r w:rsidR="00742552">
        <w:t>,</w:t>
      </w:r>
      <w:r w:rsidRPr="00204A48">
        <w:t xml:space="preserve"> </w:t>
      </w:r>
      <w:r w:rsidR="007664A5">
        <w:t xml:space="preserve">and we explore </w:t>
      </w:r>
      <w:r w:rsidR="00742552">
        <w:t>the</w:t>
      </w:r>
      <w:r w:rsidR="007664A5">
        <w:t xml:space="preserve"> </w:t>
      </w:r>
      <w:r w:rsidRPr="00204A48">
        <w:t>geological</w:t>
      </w:r>
      <w:r w:rsidR="007664A5">
        <w:t xml:space="preserve">, </w:t>
      </w:r>
      <w:proofErr w:type="spellStart"/>
      <w:r w:rsidR="007664A5">
        <w:t>economical</w:t>
      </w:r>
      <w:proofErr w:type="spellEnd"/>
      <w:r w:rsidR="007664A5">
        <w:t xml:space="preserve"> and environmental</w:t>
      </w:r>
      <w:r w:rsidRPr="00204A48">
        <w:t xml:space="preserve"> criticality</w:t>
      </w:r>
      <w:r w:rsidR="00742552">
        <w:t xml:space="preserve"> of each of them</w:t>
      </w:r>
      <w:r w:rsidRPr="00204A48">
        <w:t>. A discussion about the future risk factors applied to the</w:t>
      </w:r>
      <w:r w:rsidR="007664A5">
        <w:t>se materials</w:t>
      </w:r>
      <w:r w:rsidRPr="00204A48">
        <w:t xml:space="preserve"> has been also done at </w:t>
      </w:r>
      <w:r w:rsidR="00742552">
        <w:t>the</w:t>
      </w:r>
      <w:r w:rsidR="00742552" w:rsidRPr="00204A48">
        <w:t xml:space="preserve"> </w:t>
      </w:r>
      <w:r w:rsidRPr="00204A48">
        <w:t xml:space="preserve">regional scale to analyse more in-depth the impact of the future global fleet development on </w:t>
      </w:r>
      <w:r w:rsidR="007664A5">
        <w:t xml:space="preserve">these </w:t>
      </w:r>
      <w:r w:rsidR="00742552">
        <w:t>commodity</w:t>
      </w:r>
      <w:r w:rsidR="00742552" w:rsidRPr="00204A48">
        <w:t xml:space="preserve"> </w:t>
      </w:r>
      <w:r w:rsidRPr="00204A48">
        <w:t>market</w:t>
      </w:r>
      <w:r w:rsidR="007664A5">
        <w:t>s</w:t>
      </w:r>
      <w:r w:rsidRPr="00204A48">
        <w:t>. Our study shows that the model could be a useful decision-making tool for assessing future raw material market stresses with energy transition and could be extended to other critical raw materials for more efficient regional and sectorial screening.</w:t>
      </w:r>
    </w:p>
    <w:p w:rsidR="00DC69F1" w:rsidRPr="00D767DA" w:rsidRDefault="00DC69F1">
      <w:pPr>
        <w:pStyle w:val="Titre2"/>
        <w:rPr>
          <w:i w:val="0"/>
          <w:sz w:val="24"/>
          <w:szCs w:val="24"/>
        </w:rPr>
      </w:pPr>
      <w:r w:rsidRPr="00D767DA">
        <w:rPr>
          <w:i w:val="0"/>
          <w:sz w:val="24"/>
          <w:szCs w:val="24"/>
        </w:rPr>
        <w:t>Methods</w:t>
      </w:r>
    </w:p>
    <w:p w:rsidR="00E27DA2" w:rsidRPr="00E27DA2" w:rsidRDefault="00E27DA2" w:rsidP="00E27DA2">
      <w:pPr>
        <w:jc w:val="both"/>
      </w:pPr>
      <w:r>
        <w:t xml:space="preserve">We use the </w:t>
      </w:r>
      <w:r w:rsidRPr="00D5592F">
        <w:t>TIAM-IFPEN (TIMES</w:t>
      </w:r>
      <w:r w:rsidR="00E054BF">
        <w:t xml:space="preserve"> (</w:t>
      </w:r>
      <w:r w:rsidR="00E054BF" w:rsidRPr="00A635E9">
        <w:rPr>
          <w:szCs w:val="18"/>
        </w:rPr>
        <w:t>The Integrated MARKAL-EFOM System</w:t>
      </w:r>
      <w:r w:rsidR="00E054BF">
        <w:rPr>
          <w:szCs w:val="18"/>
        </w:rPr>
        <w:t>)</w:t>
      </w:r>
      <w:r w:rsidRPr="00D5592F">
        <w:t xml:space="preserve"> Integrated Assessment Model) model</w:t>
      </w:r>
      <w:r w:rsidR="00B6712C">
        <w:t xml:space="preserve">, </w:t>
      </w:r>
      <w:r w:rsidRPr="00D5592F">
        <w:t>a technology rich bottom-up cost optimization belonging to the MARKAL</w:t>
      </w:r>
      <w:r w:rsidR="00E054BF">
        <w:t xml:space="preserve"> (</w:t>
      </w:r>
      <w:proofErr w:type="spellStart"/>
      <w:r w:rsidR="00E054BF" w:rsidRPr="00A635E9">
        <w:rPr>
          <w:szCs w:val="18"/>
          <w:lang w:val="en-US"/>
        </w:rPr>
        <w:t>MARKet</w:t>
      </w:r>
      <w:proofErr w:type="spellEnd"/>
      <w:r w:rsidR="00E054BF" w:rsidRPr="00A635E9">
        <w:rPr>
          <w:szCs w:val="18"/>
          <w:lang w:val="en-US"/>
        </w:rPr>
        <w:t xml:space="preserve"> Allocation model</w:t>
      </w:r>
      <w:r w:rsidR="00E054BF">
        <w:rPr>
          <w:rStyle w:val="Appelnotedebasdep"/>
        </w:rPr>
        <w:t>)</w:t>
      </w:r>
      <w:r w:rsidRPr="00D5592F">
        <w:t xml:space="preserve"> family model. Energy supply</w:t>
      </w:r>
      <w:r>
        <w:t xml:space="preserve">, </w:t>
      </w:r>
      <w:r w:rsidRPr="00D5592F">
        <w:t>demand</w:t>
      </w:r>
      <w:r>
        <w:t xml:space="preserve"> and </w:t>
      </w:r>
      <w:r w:rsidRPr="00D5592F">
        <w:t>market dynamics are modelled in order to represent energy dynamics over a long-term, multi-period time horizon at a local, national, multi-regional, or global level.</w:t>
      </w:r>
      <w:r w:rsidR="00E054BF">
        <w:t xml:space="preserve"> </w:t>
      </w:r>
      <w:r>
        <w:t>F</w:t>
      </w:r>
      <w:r w:rsidRPr="00E27DA2">
        <w:t>or the purpose of the present study, we run four scenarios where we have considered two climate scenarios with two different type of mobility each in order to assess the impact on the lithium market along with the transportation electrification:</w:t>
      </w:r>
    </w:p>
    <w:p w:rsidR="00E27DA2" w:rsidRPr="00E27DA2" w:rsidRDefault="00E27DA2" w:rsidP="00E27DA2">
      <w:pPr>
        <w:pStyle w:val="Paragraphedeliste"/>
        <w:numPr>
          <w:ilvl w:val="0"/>
          <w:numId w:val="26"/>
        </w:numPr>
        <w:spacing w:line="240" w:lineRule="auto"/>
        <w:jc w:val="both"/>
        <w:rPr>
          <w:sz w:val="20"/>
          <w:szCs w:val="20"/>
          <w:lang w:val="en-GB"/>
        </w:rPr>
      </w:pPr>
      <w:r w:rsidRPr="00E27DA2">
        <w:rPr>
          <w:sz w:val="20"/>
          <w:szCs w:val="20"/>
          <w:lang w:val="en-GB"/>
        </w:rPr>
        <w:t>Scen 4D which is consistent with limiting the expected global average temperature increase to 4°C above pre-industrial levels by 2100.</w:t>
      </w:r>
    </w:p>
    <w:p w:rsidR="00E27DA2" w:rsidRPr="00E27DA2" w:rsidRDefault="00E27DA2" w:rsidP="00E27DA2">
      <w:pPr>
        <w:pStyle w:val="Paragraphedeliste"/>
        <w:numPr>
          <w:ilvl w:val="0"/>
          <w:numId w:val="26"/>
        </w:numPr>
        <w:spacing w:line="240" w:lineRule="auto"/>
        <w:jc w:val="both"/>
        <w:rPr>
          <w:sz w:val="20"/>
          <w:szCs w:val="20"/>
          <w:lang w:val="en-GB"/>
        </w:rPr>
      </w:pPr>
      <w:r w:rsidRPr="00E27DA2">
        <w:rPr>
          <w:sz w:val="20"/>
          <w:szCs w:val="20"/>
          <w:lang w:val="en-GB"/>
        </w:rPr>
        <w:t xml:space="preserve">Scen 2D which is a more ambitious scenario, which translates the climate objectives of limiting global warming to 2°C by 2100. </w:t>
      </w:r>
    </w:p>
    <w:p w:rsidR="00E27DA2" w:rsidRPr="00E27DA2" w:rsidRDefault="00E27DA2" w:rsidP="00E27DA2">
      <w:pPr>
        <w:jc w:val="both"/>
      </w:pPr>
      <w:r w:rsidRPr="00E27DA2">
        <w:t>In each climate scenario, two shape of mobility have been considered as abovementioned:</w:t>
      </w:r>
    </w:p>
    <w:p w:rsidR="00E27DA2" w:rsidRPr="00E27DA2" w:rsidRDefault="00E27DA2" w:rsidP="00E27DA2">
      <w:pPr>
        <w:pStyle w:val="Paragraphedeliste"/>
        <w:numPr>
          <w:ilvl w:val="0"/>
          <w:numId w:val="27"/>
        </w:numPr>
        <w:spacing w:line="240" w:lineRule="auto"/>
        <w:jc w:val="both"/>
        <w:rPr>
          <w:sz w:val="20"/>
          <w:szCs w:val="20"/>
          <w:lang w:val="en-GB"/>
        </w:rPr>
      </w:pPr>
      <w:r w:rsidRPr="00E27DA2">
        <w:rPr>
          <w:sz w:val="20"/>
          <w:szCs w:val="20"/>
          <w:lang w:val="en-GB"/>
        </w:rPr>
        <w:t xml:space="preserve">Hypothesis of a </w:t>
      </w:r>
      <w:r w:rsidR="00742552">
        <w:rPr>
          <w:sz w:val="20"/>
          <w:szCs w:val="20"/>
          <w:lang w:val="en-GB"/>
        </w:rPr>
        <w:t>BAU</w:t>
      </w:r>
      <w:r w:rsidR="00742552" w:rsidRPr="00E27DA2">
        <w:rPr>
          <w:sz w:val="20"/>
          <w:szCs w:val="20"/>
          <w:lang w:val="en-GB"/>
        </w:rPr>
        <w:t xml:space="preserve"> </w:t>
      </w:r>
      <w:r w:rsidRPr="00E27DA2">
        <w:rPr>
          <w:sz w:val="20"/>
          <w:szCs w:val="20"/>
          <w:lang w:val="en-GB"/>
        </w:rPr>
        <w:t xml:space="preserve">mobility where we assume the impact of urban dispersal, a worldwide phenomenon, on mobility and travel as well as the influence of urban land coverage on travel where we keep on having a huge car dependency and usage. </w:t>
      </w:r>
    </w:p>
    <w:p w:rsidR="00E27DA2" w:rsidRPr="00E27DA2" w:rsidRDefault="00E27DA2" w:rsidP="00E27DA2">
      <w:pPr>
        <w:pStyle w:val="Paragraphedeliste"/>
        <w:numPr>
          <w:ilvl w:val="0"/>
          <w:numId w:val="27"/>
        </w:numPr>
        <w:spacing w:line="240" w:lineRule="auto"/>
        <w:jc w:val="both"/>
        <w:rPr>
          <w:sz w:val="20"/>
          <w:szCs w:val="20"/>
          <w:lang w:val="en-GB"/>
        </w:rPr>
      </w:pPr>
      <w:r w:rsidRPr="00E27DA2">
        <w:rPr>
          <w:sz w:val="20"/>
          <w:szCs w:val="20"/>
          <w:lang w:val="en-GB"/>
        </w:rPr>
        <w:t xml:space="preserve">Hypothesis of a </w:t>
      </w:r>
      <w:r w:rsidR="00742552">
        <w:rPr>
          <w:sz w:val="20"/>
          <w:szCs w:val="20"/>
          <w:lang w:val="en-GB"/>
        </w:rPr>
        <w:t>Sustainable</w:t>
      </w:r>
      <w:r w:rsidR="00742552" w:rsidRPr="00E27DA2">
        <w:rPr>
          <w:sz w:val="20"/>
          <w:szCs w:val="20"/>
          <w:lang w:val="en-GB"/>
        </w:rPr>
        <w:t xml:space="preserve"> </w:t>
      </w:r>
      <w:r w:rsidRPr="00E27DA2">
        <w:rPr>
          <w:sz w:val="20"/>
          <w:szCs w:val="20"/>
          <w:lang w:val="en-GB"/>
        </w:rPr>
        <w:t xml:space="preserve">mobility where the idea of a sustainability in mobility is assumed. This means taking into account social, economic and institutional dimensions to move beyond a focus on ecology and the natural environment. This assumption implies more compact cities, underpins an integrated approach to urban land-use and transport planning and investment, and gives priority to sustainable modes of mobility such as public and non-motorized transport as seen in </w:t>
      </w:r>
      <w:r w:rsidRPr="00E27DA2">
        <w:rPr>
          <w:sz w:val="20"/>
          <w:szCs w:val="20"/>
          <w:lang w:val="en-GB"/>
        </w:rPr>
        <w:fldChar w:fldCharType="begin"/>
      </w:r>
      <w:r w:rsidRPr="00E27DA2">
        <w:rPr>
          <w:sz w:val="20"/>
          <w:szCs w:val="20"/>
          <w:lang w:val="en-GB"/>
        </w:rPr>
        <w:instrText xml:space="preserve"> REF _Ref528278302 \h  \* MERGEFORMAT </w:instrText>
      </w:r>
      <w:r w:rsidRPr="00E27DA2">
        <w:rPr>
          <w:sz w:val="20"/>
          <w:szCs w:val="20"/>
          <w:lang w:val="en-GB"/>
        </w:rPr>
      </w:r>
      <w:r w:rsidRPr="00E27DA2">
        <w:rPr>
          <w:sz w:val="20"/>
          <w:szCs w:val="20"/>
          <w:lang w:val="en-GB"/>
        </w:rPr>
        <w:fldChar w:fldCharType="separate"/>
      </w:r>
      <w:r w:rsidRPr="00E27DA2">
        <w:rPr>
          <w:sz w:val="20"/>
          <w:szCs w:val="20"/>
          <w:lang w:val="en-GB"/>
        </w:rPr>
        <w:t xml:space="preserve">Fig. </w:t>
      </w:r>
      <w:r w:rsidRPr="00E27DA2">
        <w:rPr>
          <w:noProof/>
          <w:sz w:val="20"/>
          <w:szCs w:val="20"/>
          <w:lang w:val="en-GB"/>
        </w:rPr>
        <w:t>8</w:t>
      </w:r>
      <w:r w:rsidRPr="00E27DA2">
        <w:rPr>
          <w:sz w:val="20"/>
          <w:szCs w:val="20"/>
          <w:lang w:val="en-GB"/>
        </w:rPr>
        <w:fldChar w:fldCharType="end"/>
      </w:r>
      <w:r w:rsidRPr="00E27DA2">
        <w:rPr>
          <w:sz w:val="20"/>
          <w:szCs w:val="20"/>
          <w:lang w:val="en-GB"/>
        </w:rPr>
        <w:t xml:space="preserve"> with the bus and minibus travel demands. </w:t>
      </w:r>
    </w:p>
    <w:p w:rsidR="00DC69F1" w:rsidRPr="00D767DA" w:rsidRDefault="00DC69F1" w:rsidP="00DC69F1">
      <w:pPr>
        <w:pStyle w:val="Titre2"/>
        <w:rPr>
          <w:i w:val="0"/>
          <w:sz w:val="24"/>
          <w:szCs w:val="24"/>
        </w:rPr>
      </w:pPr>
      <w:r w:rsidRPr="00D767DA">
        <w:rPr>
          <w:i w:val="0"/>
          <w:sz w:val="24"/>
          <w:szCs w:val="24"/>
        </w:rPr>
        <w:t>Results</w:t>
      </w:r>
    </w:p>
    <w:p w:rsidR="00E27DA2" w:rsidRDefault="00E27DA2" w:rsidP="00E27DA2">
      <w:pPr>
        <w:jc w:val="both"/>
      </w:pPr>
      <w:r w:rsidRPr="00E27DA2">
        <w:t xml:space="preserve">Cumulative demand for </w:t>
      </w:r>
      <w:r w:rsidR="007664A5">
        <w:rPr>
          <w:lang w:eastAsia="fr-FR"/>
        </w:rPr>
        <w:t>copper, nickel, cobalt and lithium</w:t>
      </w:r>
      <w:r w:rsidR="007664A5" w:rsidRPr="00E27DA2">
        <w:t xml:space="preserve"> </w:t>
      </w:r>
      <w:r w:rsidR="007664A5">
        <w:t xml:space="preserve">should registered a </w:t>
      </w:r>
      <w:r w:rsidR="00C80C78">
        <w:t xml:space="preserve">dynamic growth from 2020 </w:t>
      </w:r>
      <w:r w:rsidRPr="00E27DA2">
        <w:t xml:space="preserve">in the case of the 2°C scenario. Demand is driven globally by China, Europe, India and USA in both climate scenarios. A comparison of cumulative </w:t>
      </w:r>
      <w:r w:rsidR="00C80C78">
        <w:t>materials</w:t>
      </w:r>
      <w:r w:rsidRPr="00E27DA2">
        <w:t xml:space="preserve"> </w:t>
      </w:r>
      <w:r w:rsidR="00E86ECC">
        <w:t>extraction</w:t>
      </w:r>
      <w:r w:rsidR="00E86ECC" w:rsidRPr="00E27DA2">
        <w:t xml:space="preserve"> </w:t>
      </w:r>
      <w:r w:rsidRPr="00E27DA2">
        <w:t xml:space="preserve">between 2005 and 2050 with current reserves </w:t>
      </w:r>
      <w:r w:rsidR="00C80C78">
        <w:t xml:space="preserve">and </w:t>
      </w:r>
      <w:proofErr w:type="spellStart"/>
      <w:r w:rsidR="00C80C78">
        <w:t>ressources</w:t>
      </w:r>
      <w:proofErr w:type="spellEnd"/>
      <w:r w:rsidRPr="00E27DA2">
        <w:t xml:space="preserve"> provides </w:t>
      </w:r>
      <w:r w:rsidRPr="00E27DA2">
        <w:lastRenderedPageBreak/>
        <w:t xml:space="preserve">information about the level of criticality of </w:t>
      </w:r>
      <w:r w:rsidR="00C80C78">
        <w:t>each materials</w:t>
      </w:r>
      <w:r w:rsidRPr="00E27DA2">
        <w:t xml:space="preserve">. It shows </w:t>
      </w:r>
      <w:r w:rsidR="00C80C78">
        <w:t xml:space="preserve">that copper and cobalt criticality are expected to be higher than the level of </w:t>
      </w:r>
      <w:proofErr w:type="spellStart"/>
      <w:r w:rsidR="00C80C78">
        <w:t>criticiality</w:t>
      </w:r>
      <w:proofErr w:type="spellEnd"/>
      <w:r w:rsidR="00C80C78">
        <w:t xml:space="preserve"> observed for nickel and lithium</w:t>
      </w:r>
      <w:r w:rsidRPr="00E27DA2">
        <w:t xml:space="preserve">. </w:t>
      </w:r>
    </w:p>
    <w:p w:rsidR="00C80C78" w:rsidRPr="00C80C78" w:rsidRDefault="00C80C78" w:rsidP="00C80C78">
      <w:pPr>
        <w:pStyle w:val="Lgende"/>
        <w:keepNext/>
        <w:spacing w:after="0"/>
        <w:jc w:val="center"/>
        <w:rPr>
          <w:color w:val="auto"/>
          <w:sz w:val="20"/>
          <w:szCs w:val="20"/>
          <w:lang w:val="en-US"/>
        </w:rPr>
      </w:pPr>
      <w:r w:rsidRPr="00C80C78">
        <w:rPr>
          <w:color w:val="auto"/>
          <w:sz w:val="20"/>
          <w:szCs w:val="20"/>
          <w:lang w:val="en-US"/>
        </w:rPr>
        <w:t xml:space="preserve">Table </w:t>
      </w:r>
      <w:r w:rsidRPr="00C80C78">
        <w:rPr>
          <w:color w:val="auto"/>
          <w:sz w:val="20"/>
          <w:szCs w:val="20"/>
        </w:rPr>
        <w:fldChar w:fldCharType="begin"/>
      </w:r>
      <w:r w:rsidRPr="00C80C78">
        <w:rPr>
          <w:color w:val="auto"/>
          <w:sz w:val="20"/>
          <w:szCs w:val="20"/>
          <w:lang w:val="en-US"/>
        </w:rPr>
        <w:instrText xml:space="preserve"> SEQ Tableau \* ARABIC </w:instrText>
      </w:r>
      <w:r w:rsidRPr="00C80C78">
        <w:rPr>
          <w:color w:val="auto"/>
          <w:sz w:val="20"/>
          <w:szCs w:val="20"/>
        </w:rPr>
        <w:fldChar w:fldCharType="separate"/>
      </w:r>
      <w:r w:rsidRPr="00C80C78">
        <w:rPr>
          <w:noProof/>
          <w:color w:val="auto"/>
          <w:sz w:val="20"/>
          <w:szCs w:val="20"/>
          <w:lang w:val="en-US"/>
        </w:rPr>
        <w:t>1</w:t>
      </w:r>
      <w:r w:rsidRPr="00C80C78">
        <w:rPr>
          <w:color w:val="auto"/>
          <w:sz w:val="20"/>
          <w:szCs w:val="20"/>
        </w:rPr>
        <w:fldChar w:fldCharType="end"/>
      </w:r>
      <w:r w:rsidRPr="00C80C78">
        <w:rPr>
          <w:color w:val="auto"/>
          <w:sz w:val="20"/>
          <w:szCs w:val="20"/>
          <w:lang w:val="en-US"/>
        </w:rPr>
        <w:t xml:space="preserve"> : Ratio of </w:t>
      </w:r>
      <w:r w:rsidR="00742552" w:rsidRPr="00C80C78">
        <w:rPr>
          <w:color w:val="auto"/>
          <w:sz w:val="20"/>
          <w:szCs w:val="20"/>
          <w:lang w:val="en-US"/>
        </w:rPr>
        <w:t>cumulat</w:t>
      </w:r>
      <w:r w:rsidR="00742552">
        <w:rPr>
          <w:color w:val="auto"/>
          <w:sz w:val="20"/>
          <w:szCs w:val="20"/>
          <w:lang w:val="en-US"/>
        </w:rPr>
        <w:t>ive</w:t>
      </w:r>
      <w:r w:rsidR="00742552" w:rsidRPr="00C80C78">
        <w:rPr>
          <w:color w:val="auto"/>
          <w:sz w:val="20"/>
          <w:szCs w:val="20"/>
          <w:lang w:val="en-US"/>
        </w:rPr>
        <w:t xml:space="preserve"> </w:t>
      </w:r>
      <w:r w:rsidRPr="00C80C78">
        <w:rPr>
          <w:color w:val="auto"/>
          <w:sz w:val="20"/>
          <w:szCs w:val="20"/>
          <w:lang w:val="en-US"/>
        </w:rPr>
        <w:t>demand of strategic materials from 2005 to 2050 divided by proven resources registered in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C80C78" w:rsidRPr="00C80C78" w:rsidTr="00516F0C">
        <w:tc>
          <w:tcPr>
            <w:tcW w:w="3070" w:type="dxa"/>
            <w:shd w:val="clear" w:color="auto" w:fill="auto"/>
          </w:tcPr>
          <w:p w:rsidR="00C80C78" w:rsidRPr="00516F0C" w:rsidRDefault="00C80C78" w:rsidP="00516F0C">
            <w:pPr>
              <w:autoSpaceDE w:val="0"/>
              <w:autoSpaceDN w:val="0"/>
              <w:adjustRightInd w:val="0"/>
              <w:spacing w:line="276" w:lineRule="auto"/>
              <w:jc w:val="both"/>
              <w:rPr>
                <w:rFonts w:eastAsia="Calibri"/>
                <w:lang w:val="en-US"/>
              </w:rPr>
            </w:pPr>
          </w:p>
        </w:tc>
        <w:tc>
          <w:tcPr>
            <w:tcW w:w="3071" w:type="dxa"/>
            <w:shd w:val="clear" w:color="auto" w:fill="auto"/>
          </w:tcPr>
          <w:p w:rsidR="00C80C78" w:rsidRPr="00516F0C" w:rsidRDefault="00C80C78" w:rsidP="00516F0C">
            <w:pPr>
              <w:autoSpaceDE w:val="0"/>
              <w:autoSpaceDN w:val="0"/>
              <w:adjustRightInd w:val="0"/>
              <w:spacing w:line="276" w:lineRule="auto"/>
              <w:jc w:val="center"/>
              <w:rPr>
                <w:rFonts w:eastAsia="Calibri"/>
              </w:rPr>
            </w:pPr>
            <w:r w:rsidRPr="00516F0C">
              <w:rPr>
                <w:rFonts w:eastAsia="Calibri"/>
              </w:rPr>
              <w:t>4°C Scenario</w:t>
            </w:r>
          </w:p>
        </w:tc>
        <w:tc>
          <w:tcPr>
            <w:tcW w:w="3071" w:type="dxa"/>
            <w:shd w:val="clear" w:color="auto" w:fill="auto"/>
          </w:tcPr>
          <w:p w:rsidR="00C80C78" w:rsidRPr="00516F0C" w:rsidRDefault="00C80C78" w:rsidP="00516F0C">
            <w:pPr>
              <w:autoSpaceDE w:val="0"/>
              <w:autoSpaceDN w:val="0"/>
              <w:adjustRightInd w:val="0"/>
              <w:spacing w:line="276" w:lineRule="auto"/>
              <w:jc w:val="center"/>
              <w:rPr>
                <w:rFonts w:eastAsia="Calibri"/>
              </w:rPr>
            </w:pPr>
            <w:r w:rsidRPr="00516F0C">
              <w:rPr>
                <w:rFonts w:eastAsia="Calibri"/>
              </w:rPr>
              <w:t>2°C Scenario</w:t>
            </w:r>
          </w:p>
        </w:tc>
      </w:tr>
      <w:tr w:rsidR="00C80C78" w:rsidRPr="00C80C78" w:rsidTr="00516F0C">
        <w:tc>
          <w:tcPr>
            <w:tcW w:w="3070" w:type="dxa"/>
            <w:shd w:val="clear" w:color="auto" w:fill="auto"/>
          </w:tcPr>
          <w:p w:rsidR="00C80C78" w:rsidRPr="00516F0C" w:rsidRDefault="00C80C78" w:rsidP="00516F0C">
            <w:pPr>
              <w:autoSpaceDE w:val="0"/>
              <w:autoSpaceDN w:val="0"/>
              <w:adjustRightInd w:val="0"/>
              <w:spacing w:line="276" w:lineRule="auto"/>
              <w:jc w:val="both"/>
              <w:rPr>
                <w:rFonts w:eastAsia="Calibri"/>
              </w:rPr>
            </w:pPr>
            <w:r w:rsidRPr="00516F0C">
              <w:rPr>
                <w:rFonts w:eastAsia="Calibri"/>
              </w:rPr>
              <w:t>Cobalt</w:t>
            </w:r>
          </w:p>
          <w:p w:rsidR="00C80C78" w:rsidRPr="00516F0C" w:rsidRDefault="00C80C78" w:rsidP="00516F0C">
            <w:pPr>
              <w:autoSpaceDE w:val="0"/>
              <w:autoSpaceDN w:val="0"/>
              <w:adjustRightInd w:val="0"/>
              <w:spacing w:line="276" w:lineRule="auto"/>
              <w:jc w:val="both"/>
              <w:rPr>
                <w:rFonts w:eastAsia="Calibri"/>
              </w:rPr>
            </w:pPr>
            <w:proofErr w:type="spellStart"/>
            <w:r w:rsidRPr="00516F0C">
              <w:rPr>
                <w:rFonts w:eastAsia="Calibri"/>
              </w:rPr>
              <w:t>Cuivre</w:t>
            </w:r>
            <w:proofErr w:type="spellEnd"/>
          </w:p>
          <w:p w:rsidR="00C80C78" w:rsidRPr="00516F0C" w:rsidRDefault="00C80C78" w:rsidP="00516F0C">
            <w:pPr>
              <w:autoSpaceDE w:val="0"/>
              <w:autoSpaceDN w:val="0"/>
              <w:adjustRightInd w:val="0"/>
              <w:spacing w:line="276" w:lineRule="auto"/>
              <w:jc w:val="both"/>
              <w:rPr>
                <w:rFonts w:eastAsia="Calibri"/>
              </w:rPr>
            </w:pPr>
            <w:r w:rsidRPr="00516F0C">
              <w:rPr>
                <w:rFonts w:eastAsia="Calibri"/>
              </w:rPr>
              <w:t>Lithium</w:t>
            </w:r>
          </w:p>
          <w:p w:rsidR="00C80C78" w:rsidRPr="00516F0C" w:rsidRDefault="00C80C78" w:rsidP="00516F0C">
            <w:pPr>
              <w:autoSpaceDE w:val="0"/>
              <w:autoSpaceDN w:val="0"/>
              <w:adjustRightInd w:val="0"/>
              <w:spacing w:line="276" w:lineRule="auto"/>
              <w:jc w:val="both"/>
              <w:rPr>
                <w:rFonts w:eastAsia="Calibri"/>
              </w:rPr>
            </w:pPr>
            <w:r w:rsidRPr="00516F0C">
              <w:rPr>
                <w:rFonts w:eastAsia="Calibri"/>
              </w:rPr>
              <w:t>Nickel</w:t>
            </w:r>
          </w:p>
        </w:tc>
        <w:tc>
          <w:tcPr>
            <w:tcW w:w="3071" w:type="dxa"/>
            <w:shd w:val="clear" w:color="auto" w:fill="auto"/>
          </w:tcPr>
          <w:p w:rsidR="00C80C78" w:rsidRPr="00516F0C" w:rsidRDefault="00C80C78" w:rsidP="00516F0C">
            <w:pPr>
              <w:autoSpaceDE w:val="0"/>
              <w:autoSpaceDN w:val="0"/>
              <w:adjustRightInd w:val="0"/>
              <w:spacing w:line="276" w:lineRule="auto"/>
              <w:jc w:val="center"/>
              <w:rPr>
                <w:rFonts w:eastAsia="Calibri"/>
              </w:rPr>
            </w:pPr>
            <w:r w:rsidRPr="00516F0C">
              <w:rPr>
                <w:rFonts w:eastAsia="Calibri"/>
              </w:rPr>
              <w:t>62.2%</w:t>
            </w:r>
          </w:p>
          <w:p w:rsidR="00C80C78" w:rsidRPr="00516F0C" w:rsidRDefault="00742552" w:rsidP="00516F0C">
            <w:pPr>
              <w:autoSpaceDE w:val="0"/>
              <w:autoSpaceDN w:val="0"/>
              <w:adjustRightInd w:val="0"/>
              <w:spacing w:line="276" w:lineRule="auto"/>
              <w:jc w:val="center"/>
              <w:rPr>
                <w:rFonts w:eastAsia="Calibri"/>
              </w:rPr>
            </w:pPr>
            <w:r>
              <w:rPr>
                <w:rFonts w:eastAsia="Calibri"/>
              </w:rPr>
              <w:t>108.6</w:t>
            </w:r>
            <w:r w:rsidR="00C80C78" w:rsidRPr="00516F0C">
              <w:rPr>
                <w:rFonts w:eastAsia="Calibri"/>
              </w:rPr>
              <w:t>%</w:t>
            </w:r>
          </w:p>
          <w:p w:rsidR="00C80C78" w:rsidRPr="00516F0C" w:rsidRDefault="00C80C78" w:rsidP="00516F0C">
            <w:pPr>
              <w:autoSpaceDE w:val="0"/>
              <w:autoSpaceDN w:val="0"/>
              <w:adjustRightInd w:val="0"/>
              <w:spacing w:line="276" w:lineRule="auto"/>
              <w:jc w:val="center"/>
              <w:rPr>
                <w:rFonts w:eastAsia="Calibri"/>
              </w:rPr>
            </w:pPr>
            <w:r w:rsidRPr="00516F0C">
              <w:rPr>
                <w:rFonts w:eastAsia="Calibri"/>
              </w:rPr>
              <w:t>17.1%</w:t>
            </w:r>
          </w:p>
          <w:p w:rsidR="00C80C78" w:rsidRPr="00516F0C" w:rsidRDefault="00C80C78" w:rsidP="00516F0C">
            <w:pPr>
              <w:autoSpaceDE w:val="0"/>
              <w:autoSpaceDN w:val="0"/>
              <w:adjustRightInd w:val="0"/>
              <w:spacing w:line="276" w:lineRule="auto"/>
              <w:jc w:val="center"/>
              <w:rPr>
                <w:rFonts w:eastAsia="Calibri"/>
              </w:rPr>
            </w:pPr>
            <w:r w:rsidRPr="00516F0C">
              <w:rPr>
                <w:rFonts w:eastAsia="Calibri"/>
              </w:rPr>
              <w:t>48.5%</w:t>
            </w:r>
          </w:p>
        </w:tc>
        <w:tc>
          <w:tcPr>
            <w:tcW w:w="3071" w:type="dxa"/>
            <w:shd w:val="clear" w:color="auto" w:fill="auto"/>
          </w:tcPr>
          <w:p w:rsidR="00C80C78" w:rsidRPr="00516F0C" w:rsidRDefault="00C80C78" w:rsidP="00516F0C">
            <w:pPr>
              <w:autoSpaceDE w:val="0"/>
              <w:autoSpaceDN w:val="0"/>
              <w:adjustRightInd w:val="0"/>
              <w:spacing w:line="276" w:lineRule="auto"/>
              <w:jc w:val="center"/>
              <w:rPr>
                <w:rFonts w:eastAsia="Calibri"/>
              </w:rPr>
            </w:pPr>
            <w:r w:rsidRPr="00516F0C">
              <w:rPr>
                <w:rFonts w:eastAsia="Calibri"/>
              </w:rPr>
              <w:t>93.6%</w:t>
            </w:r>
          </w:p>
          <w:p w:rsidR="00C80C78" w:rsidRPr="00516F0C" w:rsidRDefault="00742552" w:rsidP="00516F0C">
            <w:pPr>
              <w:autoSpaceDE w:val="0"/>
              <w:autoSpaceDN w:val="0"/>
              <w:adjustRightInd w:val="0"/>
              <w:spacing w:line="276" w:lineRule="auto"/>
              <w:jc w:val="center"/>
              <w:rPr>
                <w:rFonts w:eastAsia="Calibri"/>
              </w:rPr>
            </w:pPr>
            <w:r>
              <w:rPr>
                <w:rFonts w:eastAsia="Calibri"/>
              </w:rPr>
              <w:t>130.3</w:t>
            </w:r>
            <w:r w:rsidR="00C80C78" w:rsidRPr="00516F0C">
              <w:rPr>
                <w:rFonts w:eastAsia="Calibri"/>
              </w:rPr>
              <w:t>%</w:t>
            </w:r>
          </w:p>
          <w:p w:rsidR="00C80C78" w:rsidRPr="00516F0C" w:rsidRDefault="00C80C78" w:rsidP="00516F0C">
            <w:pPr>
              <w:autoSpaceDE w:val="0"/>
              <w:autoSpaceDN w:val="0"/>
              <w:adjustRightInd w:val="0"/>
              <w:spacing w:line="276" w:lineRule="auto"/>
              <w:jc w:val="center"/>
              <w:rPr>
                <w:rFonts w:eastAsia="Calibri"/>
              </w:rPr>
            </w:pPr>
            <w:r w:rsidRPr="00516F0C">
              <w:rPr>
                <w:rFonts w:eastAsia="Calibri"/>
              </w:rPr>
              <w:t>26%</w:t>
            </w:r>
          </w:p>
          <w:p w:rsidR="00C80C78" w:rsidRPr="00516F0C" w:rsidRDefault="00C80C78" w:rsidP="00516F0C">
            <w:pPr>
              <w:autoSpaceDE w:val="0"/>
              <w:autoSpaceDN w:val="0"/>
              <w:adjustRightInd w:val="0"/>
              <w:spacing w:line="276" w:lineRule="auto"/>
              <w:jc w:val="center"/>
              <w:rPr>
                <w:rFonts w:eastAsia="Calibri"/>
              </w:rPr>
            </w:pPr>
            <w:r w:rsidRPr="00516F0C">
              <w:rPr>
                <w:rFonts w:eastAsia="Calibri"/>
              </w:rPr>
              <w:t>56.6%</w:t>
            </w:r>
          </w:p>
        </w:tc>
      </w:tr>
    </w:tbl>
    <w:p w:rsidR="00C80C78" w:rsidRPr="00C80C78" w:rsidRDefault="00C80C78" w:rsidP="00C80C78">
      <w:pPr>
        <w:autoSpaceDE w:val="0"/>
        <w:autoSpaceDN w:val="0"/>
        <w:adjustRightInd w:val="0"/>
        <w:spacing w:line="276" w:lineRule="auto"/>
        <w:jc w:val="center"/>
      </w:pPr>
      <w:r w:rsidRPr="00C80C78">
        <w:t>Source: authors</w:t>
      </w:r>
    </w:p>
    <w:p w:rsidR="00DC69F1" w:rsidRPr="00D767DA" w:rsidRDefault="00DC69F1">
      <w:pPr>
        <w:pStyle w:val="Titre2"/>
        <w:jc w:val="both"/>
        <w:rPr>
          <w:i w:val="0"/>
          <w:sz w:val="24"/>
          <w:szCs w:val="24"/>
        </w:rPr>
      </w:pPr>
      <w:r w:rsidRPr="00D767DA">
        <w:rPr>
          <w:i w:val="0"/>
          <w:sz w:val="24"/>
          <w:szCs w:val="24"/>
        </w:rPr>
        <w:t>Conclusions</w:t>
      </w:r>
    </w:p>
    <w:p w:rsidR="00E27DA2" w:rsidRPr="00E27DA2" w:rsidRDefault="00E27DA2" w:rsidP="00C80C78">
      <w:pPr>
        <w:jc w:val="both"/>
        <w:rPr>
          <w:lang w:eastAsia="fr-FR"/>
        </w:rPr>
      </w:pPr>
      <w:r w:rsidRPr="00D5592F">
        <w:t>The scenarios developed in this article tend to show that a</w:t>
      </w:r>
      <w:r w:rsidR="00C80C78">
        <w:t xml:space="preserve">mong all the components of the </w:t>
      </w:r>
      <w:r w:rsidR="00E86ECC">
        <w:t>electric vehicle,</w:t>
      </w:r>
      <w:r w:rsidR="00C80C78">
        <w:t xml:space="preserve"> copper and cobalt tend to demonstrate a high level of criticality</w:t>
      </w:r>
      <w:r w:rsidR="00E86ECC">
        <w:t>.</w:t>
      </w:r>
      <w:r w:rsidR="00C80C78">
        <w:t xml:space="preserve"> </w:t>
      </w:r>
      <w:r w:rsidR="00E86ECC">
        <w:t xml:space="preserve">High </w:t>
      </w:r>
      <w:r w:rsidRPr="00D5592F">
        <w:t xml:space="preserve">penetration of the </w:t>
      </w:r>
      <w:r>
        <w:t>EV</w:t>
      </w:r>
      <w:r w:rsidRPr="00D5592F">
        <w:t xml:space="preserve"> worldwide could lead to a decrease in the </w:t>
      </w:r>
      <w:r w:rsidR="00C80C78">
        <w:t>materials</w:t>
      </w:r>
      <w:r w:rsidRPr="00D5592F">
        <w:t xml:space="preserve"> safety margin in the 2°C, the most stringent climate scenario, and an hyper mobility. </w:t>
      </w:r>
      <w:r w:rsidR="00C80C78">
        <w:t>Public policies such as recycling and sustainable mobility could overcome part of this dynamic. Environmental issue such as water consumption in the mining industry should also be taken into account in the technological choices induced by the world-wide energy transition.</w:t>
      </w:r>
    </w:p>
    <w:p w:rsidR="00DC69F1" w:rsidRPr="00D767DA" w:rsidRDefault="00DC69F1">
      <w:pPr>
        <w:pStyle w:val="Titre2"/>
        <w:rPr>
          <w:i w:val="0"/>
          <w:sz w:val="24"/>
          <w:szCs w:val="24"/>
        </w:rPr>
      </w:pPr>
      <w:r w:rsidRPr="00D767DA">
        <w:rPr>
          <w:i w:val="0"/>
          <w:sz w:val="24"/>
          <w:szCs w:val="24"/>
        </w:rPr>
        <w:t>References</w:t>
      </w:r>
    </w:p>
    <w:p w:rsidR="00E27DA2" w:rsidRPr="00E27DA2" w:rsidRDefault="00E27DA2" w:rsidP="004A0C69">
      <w:pPr>
        <w:pStyle w:val="Paragraphedeliste"/>
        <w:tabs>
          <w:tab w:val="left" w:pos="709"/>
          <w:tab w:val="left" w:pos="851"/>
        </w:tabs>
        <w:spacing w:line="240" w:lineRule="auto"/>
        <w:ind w:left="0"/>
        <w:jc w:val="both"/>
        <w:rPr>
          <w:sz w:val="20"/>
          <w:szCs w:val="20"/>
          <w:lang w:val="en-US"/>
        </w:rPr>
      </w:pPr>
      <w:r w:rsidRPr="00E27DA2">
        <w:rPr>
          <w:sz w:val="20"/>
          <w:szCs w:val="20"/>
          <w:lang w:val="en-US"/>
        </w:rPr>
        <w:t xml:space="preserve">Achzet, B., Helbig, C., 2013. How to evaluate raw material supply risks - an overview. </w:t>
      </w:r>
      <w:proofErr w:type="spellStart"/>
      <w:r w:rsidRPr="00E27DA2">
        <w:rPr>
          <w:sz w:val="20"/>
          <w:szCs w:val="20"/>
          <w:lang w:val="en-US"/>
        </w:rPr>
        <w:t>Resour</w:t>
      </w:r>
      <w:proofErr w:type="spellEnd"/>
      <w:r w:rsidRPr="00E27DA2">
        <w:rPr>
          <w:sz w:val="20"/>
          <w:szCs w:val="20"/>
          <w:lang w:val="en-US"/>
        </w:rPr>
        <w:t>. Pol. 38, 435-447</w:t>
      </w:r>
      <w:r w:rsidR="00B6712C">
        <w:rPr>
          <w:sz w:val="20"/>
          <w:szCs w:val="20"/>
          <w:lang w:val="en-US"/>
        </w:rPr>
        <w:t>.</w:t>
      </w:r>
    </w:p>
    <w:p w:rsidR="00E27DA2" w:rsidRPr="00E27DA2" w:rsidRDefault="00E27DA2" w:rsidP="004A0C69">
      <w:pPr>
        <w:pStyle w:val="Paragraphedeliste"/>
        <w:tabs>
          <w:tab w:val="left" w:pos="709"/>
          <w:tab w:val="left" w:pos="851"/>
        </w:tabs>
        <w:spacing w:line="240" w:lineRule="auto"/>
        <w:ind w:left="0"/>
        <w:jc w:val="both"/>
        <w:rPr>
          <w:sz w:val="20"/>
          <w:szCs w:val="20"/>
          <w:lang w:val="en-US"/>
        </w:rPr>
      </w:pPr>
      <w:r w:rsidRPr="00E27DA2">
        <w:rPr>
          <w:sz w:val="20"/>
          <w:szCs w:val="20"/>
          <w:lang w:val="en-US"/>
        </w:rPr>
        <w:t xml:space="preserve">De </w:t>
      </w:r>
      <w:proofErr w:type="spellStart"/>
      <w:r w:rsidRPr="00E27DA2">
        <w:rPr>
          <w:sz w:val="20"/>
          <w:szCs w:val="20"/>
          <w:lang w:val="en-US"/>
        </w:rPr>
        <w:t>Koning</w:t>
      </w:r>
      <w:proofErr w:type="spellEnd"/>
      <w:r w:rsidRPr="00E27DA2">
        <w:rPr>
          <w:sz w:val="20"/>
          <w:szCs w:val="20"/>
          <w:lang w:val="en-US"/>
        </w:rPr>
        <w:t xml:space="preserve"> A., </w:t>
      </w:r>
      <w:proofErr w:type="spellStart"/>
      <w:r w:rsidRPr="00E27DA2">
        <w:rPr>
          <w:sz w:val="20"/>
          <w:szCs w:val="20"/>
          <w:lang w:val="en-US"/>
        </w:rPr>
        <w:t>Kleijn</w:t>
      </w:r>
      <w:proofErr w:type="spellEnd"/>
      <w:r w:rsidRPr="00E27DA2">
        <w:rPr>
          <w:sz w:val="20"/>
          <w:szCs w:val="20"/>
          <w:lang w:val="en-US"/>
        </w:rPr>
        <w:t xml:space="preserve"> R., </w:t>
      </w:r>
      <w:proofErr w:type="spellStart"/>
      <w:r w:rsidRPr="00E27DA2">
        <w:rPr>
          <w:sz w:val="20"/>
          <w:szCs w:val="20"/>
          <w:lang w:val="en-US"/>
        </w:rPr>
        <w:t>Huppes</w:t>
      </w:r>
      <w:proofErr w:type="spellEnd"/>
      <w:r w:rsidRPr="00E27DA2">
        <w:rPr>
          <w:sz w:val="20"/>
          <w:szCs w:val="20"/>
          <w:lang w:val="en-US"/>
        </w:rPr>
        <w:t xml:space="preserve"> G., </w:t>
      </w:r>
      <w:proofErr w:type="spellStart"/>
      <w:r w:rsidRPr="00E27DA2">
        <w:rPr>
          <w:sz w:val="20"/>
          <w:szCs w:val="20"/>
          <w:lang w:val="en-US"/>
        </w:rPr>
        <w:t>Sprecher</w:t>
      </w:r>
      <w:proofErr w:type="spellEnd"/>
      <w:r w:rsidRPr="00E27DA2">
        <w:rPr>
          <w:sz w:val="20"/>
          <w:szCs w:val="20"/>
          <w:lang w:val="en-US"/>
        </w:rPr>
        <w:t xml:space="preserve"> B., van </w:t>
      </w:r>
      <w:proofErr w:type="spellStart"/>
      <w:r w:rsidRPr="00E27DA2">
        <w:rPr>
          <w:sz w:val="20"/>
          <w:szCs w:val="20"/>
          <w:lang w:val="en-US"/>
        </w:rPr>
        <w:t>Engelen</w:t>
      </w:r>
      <w:proofErr w:type="spellEnd"/>
      <w:r w:rsidRPr="00E27DA2">
        <w:rPr>
          <w:sz w:val="20"/>
          <w:szCs w:val="20"/>
          <w:lang w:val="en-US"/>
        </w:rPr>
        <w:t xml:space="preserve"> G., </w:t>
      </w:r>
      <w:proofErr w:type="spellStart"/>
      <w:r w:rsidRPr="00E27DA2">
        <w:rPr>
          <w:sz w:val="20"/>
          <w:szCs w:val="20"/>
          <w:lang w:val="en-US"/>
        </w:rPr>
        <w:t>Tukker</w:t>
      </w:r>
      <w:proofErr w:type="spellEnd"/>
      <w:r w:rsidRPr="00E27DA2">
        <w:rPr>
          <w:sz w:val="20"/>
          <w:szCs w:val="20"/>
          <w:lang w:val="en-US"/>
        </w:rPr>
        <w:t xml:space="preserve"> A., 2018, Metal supply constraints for a low-carbon economy, Resources, </w:t>
      </w:r>
      <w:proofErr w:type="spellStart"/>
      <w:r w:rsidRPr="00E27DA2">
        <w:rPr>
          <w:sz w:val="20"/>
          <w:szCs w:val="20"/>
          <w:lang w:val="en-US"/>
        </w:rPr>
        <w:t>Conseration</w:t>
      </w:r>
      <w:proofErr w:type="spellEnd"/>
      <w:r w:rsidRPr="00E27DA2">
        <w:rPr>
          <w:sz w:val="20"/>
          <w:szCs w:val="20"/>
          <w:lang w:val="en-US"/>
        </w:rPr>
        <w:t xml:space="preserve"> and. Recycling Volume 129, p202-208</w:t>
      </w:r>
      <w:r w:rsidR="00B6712C">
        <w:rPr>
          <w:sz w:val="20"/>
          <w:szCs w:val="20"/>
          <w:lang w:val="en-US"/>
        </w:rPr>
        <w:t>.</w:t>
      </w:r>
    </w:p>
    <w:p w:rsidR="00B6712C" w:rsidRDefault="00B6712C" w:rsidP="004A0C69">
      <w:pPr>
        <w:pStyle w:val="Paragraphedeliste"/>
        <w:tabs>
          <w:tab w:val="left" w:pos="709"/>
          <w:tab w:val="left" w:pos="851"/>
        </w:tabs>
        <w:spacing w:line="240" w:lineRule="auto"/>
        <w:ind w:left="0"/>
        <w:jc w:val="both"/>
        <w:rPr>
          <w:sz w:val="20"/>
          <w:szCs w:val="20"/>
          <w:lang w:val="en-US"/>
        </w:rPr>
      </w:pPr>
      <w:r w:rsidRPr="00E27DA2">
        <w:rPr>
          <w:sz w:val="20"/>
          <w:szCs w:val="20"/>
          <w:lang w:val="en-US"/>
        </w:rPr>
        <w:t xml:space="preserve">Graedel, T.E., </w:t>
      </w:r>
      <w:proofErr w:type="spellStart"/>
      <w:r w:rsidRPr="00E27DA2">
        <w:rPr>
          <w:sz w:val="20"/>
          <w:szCs w:val="20"/>
          <w:lang w:val="en-US"/>
        </w:rPr>
        <w:t>Reck</w:t>
      </w:r>
      <w:proofErr w:type="spellEnd"/>
      <w:r w:rsidRPr="00E27DA2">
        <w:rPr>
          <w:sz w:val="20"/>
          <w:szCs w:val="20"/>
          <w:lang w:val="en-US"/>
        </w:rPr>
        <w:t>, B.K., 2016. Six years of criticality assessments: what have we learned so far? J. Ind. Ecol. 20 (4), 692-699</w:t>
      </w:r>
      <w:r>
        <w:rPr>
          <w:sz w:val="20"/>
          <w:szCs w:val="20"/>
          <w:lang w:val="en-US"/>
        </w:rPr>
        <w:t>.</w:t>
      </w:r>
    </w:p>
    <w:p w:rsidR="00B6712C" w:rsidRPr="00E27DA2" w:rsidRDefault="00B6712C" w:rsidP="00B6712C">
      <w:pPr>
        <w:pStyle w:val="Paragraphedeliste"/>
        <w:tabs>
          <w:tab w:val="left" w:pos="709"/>
          <w:tab w:val="left" w:pos="851"/>
        </w:tabs>
        <w:spacing w:line="240" w:lineRule="auto"/>
        <w:ind w:left="0"/>
        <w:jc w:val="both"/>
        <w:rPr>
          <w:sz w:val="20"/>
          <w:szCs w:val="20"/>
          <w:lang w:val="en-US"/>
        </w:rPr>
      </w:pPr>
      <w:r w:rsidRPr="00E27DA2">
        <w:rPr>
          <w:sz w:val="20"/>
          <w:szCs w:val="20"/>
          <w:lang w:val="en-US"/>
        </w:rPr>
        <w:t>Habib K., Hamelin L., Wenzel H., 2016, A dynamic perspective of the geopolitical supply risk of metals, Journal of Cleaner Production, Volume 133, p850-858.</w:t>
      </w:r>
    </w:p>
    <w:p w:rsidR="00B6712C" w:rsidRPr="00E27DA2" w:rsidRDefault="00B6712C" w:rsidP="00B6712C">
      <w:pPr>
        <w:pStyle w:val="Paragraphedeliste"/>
        <w:tabs>
          <w:tab w:val="left" w:pos="1134"/>
        </w:tabs>
        <w:spacing w:line="240" w:lineRule="auto"/>
        <w:ind w:left="0"/>
        <w:jc w:val="both"/>
        <w:rPr>
          <w:sz w:val="20"/>
          <w:szCs w:val="20"/>
          <w:lang w:val="en-US"/>
        </w:rPr>
      </w:pPr>
      <w:r w:rsidRPr="00E27DA2">
        <w:rPr>
          <w:sz w:val="20"/>
          <w:szCs w:val="20"/>
          <w:lang w:val="en-US"/>
        </w:rPr>
        <w:t>Hache E., 2017, Do renewable energies improve energy security in the long run?, International Economics, In Press.</w:t>
      </w:r>
    </w:p>
    <w:p w:rsidR="00E27DA2" w:rsidRPr="00E27DA2" w:rsidRDefault="00E27DA2" w:rsidP="004A0C69">
      <w:pPr>
        <w:pStyle w:val="Paragraphedeliste"/>
        <w:tabs>
          <w:tab w:val="left" w:pos="709"/>
          <w:tab w:val="left" w:pos="851"/>
        </w:tabs>
        <w:spacing w:line="240" w:lineRule="auto"/>
        <w:ind w:left="0"/>
        <w:jc w:val="both"/>
        <w:rPr>
          <w:sz w:val="20"/>
          <w:szCs w:val="20"/>
        </w:rPr>
      </w:pPr>
      <w:r w:rsidRPr="00E27DA2">
        <w:rPr>
          <w:sz w:val="20"/>
          <w:szCs w:val="20"/>
        </w:rPr>
        <w:t xml:space="preserve">Hache E., Seck G. S., </w:t>
      </w:r>
      <w:proofErr w:type="spellStart"/>
      <w:r w:rsidRPr="00E27DA2">
        <w:rPr>
          <w:sz w:val="20"/>
          <w:szCs w:val="20"/>
        </w:rPr>
        <w:t>Simoen</w:t>
      </w:r>
      <w:proofErr w:type="spellEnd"/>
      <w:r w:rsidRPr="00E27DA2">
        <w:rPr>
          <w:sz w:val="20"/>
          <w:szCs w:val="20"/>
        </w:rPr>
        <w:t xml:space="preserve"> M., 2018b, Electrification du parc automobile mondial et criticité du lithium à l’horizon 2050, ADEME (French Environment &amp; Energy Management Agency)/IFPEN</w:t>
      </w:r>
      <w:r w:rsidR="00B6712C">
        <w:rPr>
          <w:sz w:val="20"/>
          <w:szCs w:val="20"/>
        </w:rPr>
        <w:t>.</w:t>
      </w:r>
    </w:p>
    <w:p w:rsidR="00B6712C" w:rsidRPr="00E27DA2" w:rsidRDefault="00B6712C" w:rsidP="00B6712C">
      <w:pPr>
        <w:pStyle w:val="Paragraphedeliste"/>
        <w:tabs>
          <w:tab w:val="left" w:pos="709"/>
          <w:tab w:val="left" w:pos="851"/>
        </w:tabs>
        <w:spacing w:line="240" w:lineRule="auto"/>
        <w:ind w:left="0"/>
        <w:jc w:val="both"/>
        <w:rPr>
          <w:sz w:val="20"/>
          <w:szCs w:val="20"/>
          <w:lang w:val="en-US"/>
        </w:rPr>
      </w:pPr>
      <w:r w:rsidRPr="00E27DA2">
        <w:rPr>
          <w:sz w:val="20"/>
          <w:szCs w:val="20"/>
          <w:lang w:val="en-US"/>
        </w:rPr>
        <w:t>Hatayama H., Tahara K., 2018, Adopting an objective approach to criticality assessment: Learning from the past, Resources Policy, Volume 55, p96-102</w:t>
      </w:r>
      <w:r>
        <w:rPr>
          <w:sz w:val="20"/>
          <w:szCs w:val="20"/>
          <w:lang w:val="en-US"/>
        </w:rPr>
        <w:t>.</w:t>
      </w:r>
    </w:p>
    <w:p w:rsidR="00B6712C" w:rsidRDefault="00B6712C" w:rsidP="00B6712C">
      <w:pPr>
        <w:pStyle w:val="Paragraphedeliste"/>
        <w:tabs>
          <w:tab w:val="left" w:pos="709"/>
          <w:tab w:val="left" w:pos="851"/>
        </w:tabs>
        <w:spacing w:line="240" w:lineRule="auto"/>
        <w:ind w:left="0"/>
        <w:jc w:val="both"/>
        <w:rPr>
          <w:sz w:val="20"/>
          <w:szCs w:val="20"/>
          <w:lang w:val="en-US"/>
        </w:rPr>
      </w:pPr>
      <w:r w:rsidRPr="00E27DA2">
        <w:rPr>
          <w:sz w:val="20"/>
          <w:szCs w:val="20"/>
          <w:lang w:val="en-US"/>
        </w:rPr>
        <w:t xml:space="preserve">Helbig C., Bradshaw A. M., </w:t>
      </w:r>
      <w:proofErr w:type="spellStart"/>
      <w:r w:rsidRPr="00E27DA2">
        <w:rPr>
          <w:sz w:val="20"/>
          <w:szCs w:val="20"/>
          <w:lang w:val="en-US"/>
        </w:rPr>
        <w:t>Wietschel</w:t>
      </w:r>
      <w:proofErr w:type="spellEnd"/>
      <w:r w:rsidRPr="00E27DA2">
        <w:rPr>
          <w:sz w:val="20"/>
          <w:szCs w:val="20"/>
          <w:lang w:val="en-US"/>
        </w:rPr>
        <w:t xml:space="preserve"> L., </w:t>
      </w:r>
      <w:proofErr w:type="spellStart"/>
      <w:r w:rsidRPr="00E27DA2">
        <w:rPr>
          <w:sz w:val="20"/>
          <w:szCs w:val="20"/>
          <w:lang w:val="en-US"/>
        </w:rPr>
        <w:t>Thorenz</w:t>
      </w:r>
      <w:proofErr w:type="spellEnd"/>
      <w:r w:rsidRPr="00E27DA2">
        <w:rPr>
          <w:sz w:val="20"/>
          <w:szCs w:val="20"/>
          <w:lang w:val="en-US"/>
        </w:rPr>
        <w:t xml:space="preserve"> A., </w:t>
      </w:r>
      <w:proofErr w:type="spellStart"/>
      <w:r w:rsidRPr="00E27DA2">
        <w:rPr>
          <w:sz w:val="20"/>
          <w:szCs w:val="20"/>
          <w:lang w:val="en-US"/>
        </w:rPr>
        <w:t>Tuma</w:t>
      </w:r>
      <w:proofErr w:type="spellEnd"/>
      <w:r w:rsidRPr="00E27DA2">
        <w:rPr>
          <w:sz w:val="20"/>
          <w:szCs w:val="20"/>
          <w:lang w:val="en-US"/>
        </w:rPr>
        <w:t xml:space="preserve"> A., 2018, Supply risks associated with lithium-ion battery materials, Journal of Cleaner Production 172, pp274-286</w:t>
      </w:r>
      <w:r>
        <w:rPr>
          <w:sz w:val="20"/>
          <w:szCs w:val="20"/>
          <w:lang w:val="en-US"/>
        </w:rPr>
        <w:t>.</w:t>
      </w:r>
    </w:p>
    <w:p w:rsidR="00B6712C" w:rsidRPr="00E27DA2" w:rsidRDefault="00B6712C" w:rsidP="00B6712C">
      <w:pPr>
        <w:pStyle w:val="Paragraphedeliste"/>
        <w:tabs>
          <w:tab w:val="left" w:pos="709"/>
          <w:tab w:val="left" w:pos="851"/>
        </w:tabs>
        <w:spacing w:line="240" w:lineRule="auto"/>
        <w:ind w:left="0"/>
        <w:jc w:val="both"/>
        <w:rPr>
          <w:sz w:val="20"/>
          <w:szCs w:val="20"/>
          <w:lang w:val="en-US"/>
        </w:rPr>
      </w:pPr>
      <w:r w:rsidRPr="00E27DA2">
        <w:rPr>
          <w:sz w:val="20"/>
          <w:szCs w:val="20"/>
          <w:lang w:val="en-US"/>
        </w:rPr>
        <w:t xml:space="preserve">Helene </w:t>
      </w:r>
      <w:proofErr w:type="spellStart"/>
      <w:r w:rsidRPr="00E27DA2">
        <w:rPr>
          <w:sz w:val="20"/>
          <w:szCs w:val="20"/>
          <w:lang w:val="en-US"/>
        </w:rPr>
        <w:t>Ystanes</w:t>
      </w:r>
      <w:proofErr w:type="spellEnd"/>
      <w:r w:rsidRPr="00E27DA2">
        <w:rPr>
          <w:sz w:val="20"/>
          <w:szCs w:val="20"/>
          <w:lang w:val="en-US"/>
        </w:rPr>
        <w:t xml:space="preserve"> </w:t>
      </w:r>
      <w:proofErr w:type="spellStart"/>
      <w:r w:rsidRPr="00E27DA2">
        <w:rPr>
          <w:sz w:val="20"/>
          <w:szCs w:val="20"/>
          <w:lang w:val="en-US"/>
        </w:rPr>
        <w:t>Føyn</w:t>
      </w:r>
      <w:proofErr w:type="spellEnd"/>
      <w:r w:rsidRPr="00E27DA2">
        <w:rPr>
          <w:sz w:val="20"/>
          <w:szCs w:val="20"/>
          <w:lang w:val="en-US"/>
        </w:rPr>
        <w:t xml:space="preserve"> T., Kenneth </w:t>
      </w:r>
      <w:proofErr w:type="spellStart"/>
      <w:r w:rsidRPr="00E27DA2">
        <w:rPr>
          <w:sz w:val="20"/>
          <w:szCs w:val="20"/>
          <w:lang w:val="en-US"/>
        </w:rPr>
        <w:t>Karlsson</w:t>
      </w:r>
      <w:proofErr w:type="spellEnd"/>
      <w:r w:rsidRPr="00E27DA2">
        <w:rPr>
          <w:sz w:val="20"/>
          <w:szCs w:val="20"/>
          <w:lang w:val="en-US"/>
        </w:rPr>
        <w:t xml:space="preserve">, </w:t>
      </w:r>
      <w:proofErr w:type="spellStart"/>
      <w:r w:rsidRPr="00E27DA2">
        <w:rPr>
          <w:sz w:val="20"/>
          <w:szCs w:val="20"/>
          <w:lang w:val="en-US"/>
        </w:rPr>
        <w:t>Olexandr</w:t>
      </w:r>
      <w:proofErr w:type="spellEnd"/>
      <w:r w:rsidRPr="00E27DA2">
        <w:rPr>
          <w:sz w:val="20"/>
          <w:szCs w:val="20"/>
          <w:lang w:val="en-US"/>
        </w:rPr>
        <w:t xml:space="preserve"> </w:t>
      </w:r>
      <w:proofErr w:type="spellStart"/>
      <w:r w:rsidRPr="00E27DA2">
        <w:rPr>
          <w:sz w:val="20"/>
          <w:szCs w:val="20"/>
          <w:lang w:val="en-US"/>
        </w:rPr>
        <w:t>Balyk</w:t>
      </w:r>
      <w:proofErr w:type="spellEnd"/>
      <w:r w:rsidRPr="00E27DA2">
        <w:rPr>
          <w:sz w:val="20"/>
          <w:szCs w:val="20"/>
          <w:lang w:val="en-US"/>
        </w:rPr>
        <w:t xml:space="preserve">, </w:t>
      </w:r>
      <w:proofErr w:type="spellStart"/>
      <w:r w:rsidRPr="00E27DA2">
        <w:rPr>
          <w:sz w:val="20"/>
          <w:szCs w:val="20"/>
          <w:lang w:val="en-US"/>
        </w:rPr>
        <w:t>Poul</w:t>
      </w:r>
      <w:proofErr w:type="spellEnd"/>
      <w:r w:rsidRPr="00E27DA2">
        <w:rPr>
          <w:sz w:val="20"/>
          <w:szCs w:val="20"/>
          <w:lang w:val="en-US"/>
        </w:rPr>
        <w:t xml:space="preserve"> Erik </w:t>
      </w:r>
      <w:proofErr w:type="spellStart"/>
      <w:r w:rsidRPr="00E27DA2">
        <w:rPr>
          <w:sz w:val="20"/>
          <w:szCs w:val="20"/>
          <w:lang w:val="en-US"/>
        </w:rPr>
        <w:t>Grohnhei</w:t>
      </w:r>
      <w:proofErr w:type="spellEnd"/>
      <w:r w:rsidRPr="00E27DA2">
        <w:rPr>
          <w:sz w:val="20"/>
          <w:szCs w:val="20"/>
          <w:lang w:val="en-US"/>
        </w:rPr>
        <w:t>, 2011, A global renewable energy system: A modelling exercise in ETSAP/TIAM, Applied Energy, Volume 88, p526-534</w:t>
      </w:r>
      <w:r>
        <w:rPr>
          <w:sz w:val="20"/>
          <w:szCs w:val="20"/>
          <w:lang w:val="en-US"/>
        </w:rPr>
        <w:t>.</w:t>
      </w:r>
    </w:p>
    <w:p w:rsidR="00B6712C" w:rsidRPr="00E27DA2" w:rsidRDefault="00B6712C" w:rsidP="00B6712C">
      <w:pPr>
        <w:pStyle w:val="Paragraphedeliste"/>
        <w:tabs>
          <w:tab w:val="left" w:pos="709"/>
          <w:tab w:val="left" w:pos="851"/>
        </w:tabs>
        <w:spacing w:line="240" w:lineRule="auto"/>
        <w:ind w:left="0"/>
        <w:jc w:val="both"/>
        <w:rPr>
          <w:sz w:val="20"/>
          <w:szCs w:val="20"/>
          <w:lang w:val="en-US"/>
        </w:rPr>
      </w:pPr>
      <w:r w:rsidRPr="00E27DA2">
        <w:rPr>
          <w:sz w:val="20"/>
          <w:szCs w:val="20"/>
          <w:lang w:val="en-US"/>
        </w:rPr>
        <w:t>International Energy Agency IEA, 2018, Global EV Outlook 2018: towards cross-model electrification.</w:t>
      </w:r>
    </w:p>
    <w:p w:rsidR="00B6712C" w:rsidRPr="00E27DA2" w:rsidRDefault="00B6712C" w:rsidP="00B6712C">
      <w:pPr>
        <w:pStyle w:val="Paragraphedeliste"/>
        <w:tabs>
          <w:tab w:val="left" w:pos="709"/>
          <w:tab w:val="left" w:pos="851"/>
        </w:tabs>
        <w:spacing w:line="240" w:lineRule="auto"/>
        <w:ind w:left="0"/>
        <w:jc w:val="both"/>
        <w:rPr>
          <w:sz w:val="20"/>
          <w:szCs w:val="20"/>
          <w:lang w:val="en-US"/>
        </w:rPr>
      </w:pPr>
      <w:r w:rsidRPr="00E27DA2">
        <w:rPr>
          <w:sz w:val="20"/>
          <w:szCs w:val="20"/>
          <w:lang w:val="en-US"/>
        </w:rPr>
        <w:t>International Renewable Energy Agency IRENA, 2018, Renewable Power Generation Costs in 2017</w:t>
      </w:r>
      <w:r>
        <w:rPr>
          <w:sz w:val="20"/>
          <w:szCs w:val="20"/>
          <w:lang w:val="en-US"/>
        </w:rPr>
        <w:t>.</w:t>
      </w:r>
    </w:p>
    <w:p w:rsidR="00B6712C" w:rsidRPr="004A0C69" w:rsidRDefault="00B6712C" w:rsidP="00B6712C">
      <w:pPr>
        <w:pStyle w:val="Paragraphedeliste"/>
        <w:tabs>
          <w:tab w:val="left" w:pos="709"/>
          <w:tab w:val="left" w:pos="851"/>
        </w:tabs>
        <w:spacing w:line="240" w:lineRule="auto"/>
        <w:ind w:left="0"/>
        <w:jc w:val="both"/>
        <w:rPr>
          <w:sz w:val="20"/>
          <w:szCs w:val="20"/>
          <w:lang w:val="en-US"/>
        </w:rPr>
      </w:pPr>
      <w:proofErr w:type="spellStart"/>
      <w:r w:rsidRPr="00E27DA2">
        <w:rPr>
          <w:sz w:val="20"/>
          <w:szCs w:val="20"/>
          <w:lang w:val="en-US"/>
        </w:rPr>
        <w:t>Loulou</w:t>
      </w:r>
      <w:proofErr w:type="spellEnd"/>
      <w:r w:rsidRPr="00E27DA2">
        <w:rPr>
          <w:sz w:val="20"/>
          <w:szCs w:val="20"/>
          <w:lang w:val="en-US"/>
        </w:rPr>
        <w:t xml:space="preserve"> R., </w:t>
      </w:r>
      <w:proofErr w:type="spellStart"/>
      <w:r w:rsidRPr="00E27DA2">
        <w:rPr>
          <w:sz w:val="20"/>
          <w:szCs w:val="20"/>
          <w:lang w:val="en-US"/>
        </w:rPr>
        <w:t>Remme</w:t>
      </w:r>
      <w:proofErr w:type="spellEnd"/>
      <w:r w:rsidRPr="00E27DA2">
        <w:rPr>
          <w:sz w:val="20"/>
          <w:szCs w:val="20"/>
          <w:lang w:val="en-US"/>
        </w:rPr>
        <w:t xml:space="preserve"> U., Kanudia A., </w:t>
      </w:r>
      <w:proofErr w:type="spellStart"/>
      <w:r w:rsidRPr="00E27DA2">
        <w:rPr>
          <w:sz w:val="20"/>
          <w:szCs w:val="20"/>
          <w:lang w:val="en-US"/>
        </w:rPr>
        <w:t>Lehtila</w:t>
      </w:r>
      <w:proofErr w:type="spellEnd"/>
      <w:r w:rsidRPr="00E27DA2">
        <w:rPr>
          <w:sz w:val="20"/>
          <w:szCs w:val="20"/>
          <w:lang w:val="en-US"/>
        </w:rPr>
        <w:t xml:space="preserve"> A., Goldstein G., 2016, Documentation for the TIMES model, ETSAP</w:t>
      </w:r>
      <w:r>
        <w:rPr>
          <w:sz w:val="20"/>
          <w:szCs w:val="20"/>
          <w:lang w:val="en-US"/>
        </w:rPr>
        <w:t>.</w:t>
      </w:r>
    </w:p>
    <w:p w:rsidR="00B6712C" w:rsidRDefault="00B6712C" w:rsidP="00B6712C">
      <w:pPr>
        <w:pStyle w:val="Paragraphedeliste"/>
        <w:tabs>
          <w:tab w:val="left" w:pos="709"/>
          <w:tab w:val="left" w:pos="851"/>
        </w:tabs>
        <w:spacing w:line="240" w:lineRule="auto"/>
        <w:ind w:left="0"/>
        <w:jc w:val="both"/>
        <w:rPr>
          <w:sz w:val="20"/>
          <w:szCs w:val="20"/>
          <w:lang w:val="en-US"/>
        </w:rPr>
      </w:pPr>
      <w:proofErr w:type="spellStart"/>
      <w:r w:rsidRPr="00E27DA2">
        <w:rPr>
          <w:sz w:val="20"/>
          <w:szCs w:val="20"/>
          <w:lang w:val="en-US"/>
        </w:rPr>
        <w:t>Loulou</w:t>
      </w:r>
      <w:proofErr w:type="spellEnd"/>
      <w:r w:rsidRPr="00E27DA2">
        <w:rPr>
          <w:sz w:val="20"/>
          <w:szCs w:val="20"/>
          <w:lang w:val="en-US"/>
        </w:rPr>
        <w:t xml:space="preserve"> R., Goldstein G., Noble K., 2004, Documentation for the </w:t>
      </w:r>
      <w:r>
        <w:rPr>
          <w:sz w:val="20"/>
          <w:szCs w:val="20"/>
          <w:lang w:val="en-US"/>
        </w:rPr>
        <w:t>MARKAL family models, ETSAP.</w:t>
      </w:r>
    </w:p>
    <w:p w:rsidR="00B6712C" w:rsidRDefault="00B6712C" w:rsidP="00B6712C">
      <w:pPr>
        <w:pStyle w:val="Paragraphedeliste"/>
        <w:tabs>
          <w:tab w:val="left" w:pos="709"/>
          <w:tab w:val="left" w:pos="851"/>
        </w:tabs>
        <w:spacing w:line="240" w:lineRule="auto"/>
        <w:ind w:left="0"/>
        <w:jc w:val="both"/>
        <w:rPr>
          <w:sz w:val="20"/>
          <w:szCs w:val="20"/>
          <w:lang w:val="en-US"/>
        </w:rPr>
      </w:pPr>
      <w:proofErr w:type="spellStart"/>
      <w:r w:rsidRPr="00E27DA2">
        <w:rPr>
          <w:sz w:val="20"/>
          <w:szCs w:val="20"/>
          <w:lang w:val="en-US"/>
        </w:rPr>
        <w:t>Loulou</w:t>
      </w:r>
      <w:proofErr w:type="spellEnd"/>
      <w:r w:rsidRPr="00E27DA2">
        <w:rPr>
          <w:sz w:val="20"/>
          <w:szCs w:val="20"/>
          <w:lang w:val="en-US"/>
        </w:rPr>
        <w:t xml:space="preserve">, R., </w:t>
      </w:r>
      <w:proofErr w:type="spellStart"/>
      <w:r w:rsidRPr="00E27DA2">
        <w:rPr>
          <w:sz w:val="20"/>
          <w:szCs w:val="20"/>
          <w:lang w:val="en-US"/>
        </w:rPr>
        <w:t>Labriet</w:t>
      </w:r>
      <w:proofErr w:type="spellEnd"/>
      <w:r w:rsidRPr="00E27DA2">
        <w:rPr>
          <w:sz w:val="20"/>
          <w:szCs w:val="20"/>
          <w:lang w:val="en-US"/>
        </w:rPr>
        <w:t>, M., 2008, ETSAP-TIAM: the TIMES integrated assessment model Part I: Model structure, Computational Management Science, Volume 5, Issue 1–2, pp. 7–40</w:t>
      </w:r>
      <w:r>
        <w:rPr>
          <w:sz w:val="20"/>
          <w:szCs w:val="20"/>
          <w:lang w:val="en-US"/>
        </w:rPr>
        <w:t>.</w:t>
      </w:r>
    </w:p>
    <w:p w:rsidR="00B6712C" w:rsidRPr="00E27DA2" w:rsidRDefault="00B6712C" w:rsidP="00B6712C">
      <w:pPr>
        <w:pStyle w:val="Paragraphedeliste"/>
        <w:tabs>
          <w:tab w:val="left" w:pos="709"/>
          <w:tab w:val="left" w:pos="851"/>
        </w:tabs>
        <w:spacing w:line="240" w:lineRule="auto"/>
        <w:ind w:left="0"/>
        <w:jc w:val="both"/>
        <w:rPr>
          <w:sz w:val="20"/>
          <w:szCs w:val="20"/>
          <w:lang w:val="en-US"/>
        </w:rPr>
      </w:pPr>
      <w:proofErr w:type="spellStart"/>
      <w:r w:rsidRPr="00E27DA2">
        <w:rPr>
          <w:sz w:val="20"/>
          <w:szCs w:val="20"/>
          <w:lang w:val="en-US"/>
        </w:rPr>
        <w:t>Miedema</w:t>
      </w:r>
      <w:proofErr w:type="spellEnd"/>
      <w:r w:rsidRPr="00E27DA2">
        <w:rPr>
          <w:sz w:val="20"/>
          <w:szCs w:val="20"/>
          <w:lang w:val="en-US"/>
        </w:rPr>
        <w:t xml:space="preserve"> J. H., Moll H. C., 2013, Lithium availability in the EU27 for battery-driven vehicles: The impact of recycling and substitution on the confrontation between supply and demand until 2050, Resources Policy 38, pp204–211</w:t>
      </w:r>
      <w:r>
        <w:rPr>
          <w:sz w:val="20"/>
          <w:szCs w:val="20"/>
          <w:lang w:val="en-US"/>
        </w:rPr>
        <w:t>.</w:t>
      </w:r>
    </w:p>
    <w:p w:rsidR="00B6712C" w:rsidRPr="00E27DA2" w:rsidRDefault="00B6712C" w:rsidP="00B6712C">
      <w:pPr>
        <w:pStyle w:val="Paragraphedeliste"/>
        <w:tabs>
          <w:tab w:val="left" w:pos="709"/>
          <w:tab w:val="left" w:pos="851"/>
        </w:tabs>
        <w:spacing w:line="240" w:lineRule="auto"/>
        <w:ind w:left="0"/>
        <w:jc w:val="both"/>
        <w:rPr>
          <w:sz w:val="20"/>
          <w:szCs w:val="20"/>
          <w:lang w:val="en-US"/>
        </w:rPr>
      </w:pPr>
      <w:r w:rsidRPr="00E27DA2">
        <w:rPr>
          <w:sz w:val="20"/>
          <w:szCs w:val="20"/>
          <w:lang w:val="en-US"/>
        </w:rPr>
        <w:t xml:space="preserve">Moss R. L., </w:t>
      </w:r>
      <w:proofErr w:type="spellStart"/>
      <w:r w:rsidRPr="00E27DA2">
        <w:rPr>
          <w:sz w:val="20"/>
          <w:szCs w:val="20"/>
          <w:lang w:val="en-US"/>
        </w:rPr>
        <w:t>Tzimas</w:t>
      </w:r>
      <w:proofErr w:type="spellEnd"/>
      <w:r w:rsidRPr="00E27DA2">
        <w:rPr>
          <w:sz w:val="20"/>
          <w:szCs w:val="20"/>
          <w:lang w:val="en-US"/>
        </w:rPr>
        <w:t xml:space="preserve"> E., Kara H., Willis P., </w:t>
      </w:r>
      <w:proofErr w:type="spellStart"/>
      <w:r w:rsidRPr="00E27DA2">
        <w:rPr>
          <w:sz w:val="20"/>
          <w:szCs w:val="20"/>
          <w:lang w:val="en-US"/>
        </w:rPr>
        <w:t>Kooroshy</w:t>
      </w:r>
      <w:proofErr w:type="spellEnd"/>
      <w:r w:rsidRPr="00E27DA2">
        <w:rPr>
          <w:sz w:val="20"/>
          <w:szCs w:val="20"/>
          <w:lang w:val="en-US"/>
        </w:rPr>
        <w:t xml:space="preserve"> J., 2013, The potential risks from metals bottlenecks to the deployment of Strategic Energy Technologies, Energy Policy 55, pp556–564</w:t>
      </w:r>
      <w:r>
        <w:rPr>
          <w:sz w:val="20"/>
          <w:szCs w:val="20"/>
          <w:lang w:val="en-US"/>
        </w:rPr>
        <w:t>.</w:t>
      </w:r>
    </w:p>
    <w:p w:rsidR="00B6712C" w:rsidRPr="00E27DA2" w:rsidRDefault="00B6712C" w:rsidP="00B6712C">
      <w:pPr>
        <w:pStyle w:val="Paragraphedeliste"/>
        <w:tabs>
          <w:tab w:val="left" w:pos="709"/>
          <w:tab w:val="left" w:pos="851"/>
        </w:tabs>
        <w:spacing w:line="240" w:lineRule="auto"/>
        <w:ind w:left="0"/>
        <w:jc w:val="both"/>
        <w:rPr>
          <w:sz w:val="20"/>
          <w:szCs w:val="20"/>
          <w:lang w:val="en-US"/>
        </w:rPr>
      </w:pPr>
      <w:proofErr w:type="spellStart"/>
      <w:r w:rsidRPr="00E27DA2">
        <w:rPr>
          <w:sz w:val="20"/>
          <w:szCs w:val="20"/>
          <w:lang w:val="en-US"/>
        </w:rPr>
        <w:t>Speirs</w:t>
      </w:r>
      <w:proofErr w:type="spellEnd"/>
      <w:r w:rsidRPr="00E27DA2">
        <w:rPr>
          <w:sz w:val="20"/>
          <w:szCs w:val="20"/>
          <w:lang w:val="en-US"/>
        </w:rPr>
        <w:t xml:space="preserve"> J., </w:t>
      </w:r>
      <w:proofErr w:type="spellStart"/>
      <w:r w:rsidRPr="00E27DA2">
        <w:rPr>
          <w:sz w:val="20"/>
          <w:szCs w:val="20"/>
          <w:lang w:val="en-US"/>
        </w:rPr>
        <w:t>Contestabile</w:t>
      </w:r>
      <w:proofErr w:type="spellEnd"/>
      <w:r w:rsidRPr="00E27DA2">
        <w:rPr>
          <w:sz w:val="20"/>
          <w:szCs w:val="20"/>
          <w:lang w:val="en-US"/>
        </w:rPr>
        <w:t xml:space="preserve"> M., </w:t>
      </w:r>
      <w:proofErr w:type="spellStart"/>
      <w:r w:rsidRPr="00E27DA2">
        <w:rPr>
          <w:sz w:val="20"/>
          <w:szCs w:val="20"/>
          <w:lang w:val="en-US"/>
        </w:rPr>
        <w:t>Houari</w:t>
      </w:r>
      <w:proofErr w:type="spellEnd"/>
      <w:r w:rsidRPr="00E27DA2">
        <w:rPr>
          <w:sz w:val="20"/>
          <w:szCs w:val="20"/>
          <w:lang w:val="en-US"/>
        </w:rPr>
        <w:t xml:space="preserve"> Y., Gross R., 2014, The future of lithium availability for electric vehicle batteries, Renewable and Sustainable Energy Reviews 35, pp183-193.</w:t>
      </w:r>
    </w:p>
    <w:p w:rsidR="00B6712C" w:rsidRPr="00E27DA2" w:rsidRDefault="00B6712C" w:rsidP="00B6712C">
      <w:pPr>
        <w:pStyle w:val="Paragraphedeliste"/>
        <w:tabs>
          <w:tab w:val="left" w:pos="709"/>
          <w:tab w:val="left" w:pos="851"/>
        </w:tabs>
        <w:spacing w:line="240" w:lineRule="auto"/>
        <w:ind w:left="0"/>
        <w:jc w:val="both"/>
        <w:rPr>
          <w:sz w:val="20"/>
          <w:szCs w:val="20"/>
          <w:lang w:val="en-US"/>
        </w:rPr>
      </w:pPr>
      <w:r w:rsidRPr="00E27DA2">
        <w:rPr>
          <w:sz w:val="20"/>
          <w:szCs w:val="20"/>
          <w:lang w:val="en-US"/>
        </w:rPr>
        <w:t xml:space="preserve">Van der Zwaan, B., </w:t>
      </w:r>
      <w:proofErr w:type="spellStart"/>
      <w:r w:rsidRPr="00E27DA2">
        <w:rPr>
          <w:sz w:val="20"/>
          <w:szCs w:val="20"/>
          <w:lang w:val="en-US"/>
        </w:rPr>
        <w:t>Keppo</w:t>
      </w:r>
      <w:proofErr w:type="spellEnd"/>
      <w:r w:rsidRPr="00E27DA2">
        <w:rPr>
          <w:sz w:val="20"/>
          <w:szCs w:val="20"/>
          <w:lang w:val="en-US"/>
        </w:rPr>
        <w:t xml:space="preserve">, I., </w:t>
      </w:r>
      <w:proofErr w:type="spellStart"/>
      <w:r w:rsidRPr="00E27DA2">
        <w:rPr>
          <w:sz w:val="20"/>
          <w:szCs w:val="20"/>
          <w:lang w:val="en-US"/>
        </w:rPr>
        <w:t>Johnsson</w:t>
      </w:r>
      <w:proofErr w:type="spellEnd"/>
      <w:r w:rsidRPr="00E27DA2">
        <w:rPr>
          <w:sz w:val="20"/>
          <w:szCs w:val="20"/>
          <w:lang w:val="en-US"/>
        </w:rPr>
        <w:t>, F., 2013. How to decarbonize the transport sector? Energy Policy Volume 61, p562–573.</w:t>
      </w:r>
    </w:p>
    <w:p w:rsidR="00B6712C" w:rsidRPr="00E27DA2" w:rsidRDefault="00B6712C" w:rsidP="00B6712C">
      <w:pPr>
        <w:pStyle w:val="Paragraphedeliste"/>
        <w:tabs>
          <w:tab w:val="left" w:pos="709"/>
          <w:tab w:val="left" w:pos="851"/>
        </w:tabs>
        <w:spacing w:line="240" w:lineRule="auto"/>
        <w:ind w:left="0"/>
        <w:jc w:val="both"/>
        <w:rPr>
          <w:sz w:val="20"/>
          <w:szCs w:val="20"/>
          <w:lang w:val="en-US"/>
        </w:rPr>
      </w:pPr>
      <w:r w:rsidRPr="00E27DA2">
        <w:rPr>
          <w:sz w:val="20"/>
          <w:szCs w:val="20"/>
          <w:lang w:val="en-US"/>
        </w:rPr>
        <w:t xml:space="preserve">Wang X., Gaustad G., Babbitt C. W., </w:t>
      </w:r>
      <w:proofErr w:type="spellStart"/>
      <w:r w:rsidRPr="00E27DA2">
        <w:rPr>
          <w:sz w:val="20"/>
          <w:szCs w:val="20"/>
          <w:lang w:val="en-US"/>
        </w:rPr>
        <w:t>Richa</w:t>
      </w:r>
      <w:proofErr w:type="spellEnd"/>
      <w:r w:rsidRPr="00E27DA2">
        <w:rPr>
          <w:sz w:val="20"/>
          <w:szCs w:val="20"/>
          <w:lang w:val="en-US"/>
        </w:rPr>
        <w:t xml:space="preserve"> K., 2014, Economies of scale for future lithium-ion battery recycling infrastructure, Resources Conservation and Recycling 83, pp53-62</w:t>
      </w:r>
      <w:r>
        <w:rPr>
          <w:sz w:val="20"/>
          <w:szCs w:val="20"/>
          <w:lang w:val="en-US"/>
        </w:rPr>
        <w:t>.</w:t>
      </w:r>
    </w:p>
    <w:p w:rsidR="00B6712C" w:rsidRPr="00E27DA2" w:rsidRDefault="00B6712C" w:rsidP="00B6712C">
      <w:pPr>
        <w:pStyle w:val="Paragraphedeliste"/>
        <w:tabs>
          <w:tab w:val="left" w:pos="709"/>
          <w:tab w:val="left" w:pos="851"/>
        </w:tabs>
        <w:spacing w:line="240" w:lineRule="auto"/>
        <w:ind w:left="0"/>
        <w:jc w:val="both"/>
        <w:rPr>
          <w:sz w:val="20"/>
          <w:szCs w:val="20"/>
          <w:lang w:val="en-US"/>
        </w:rPr>
      </w:pPr>
      <w:proofErr w:type="spellStart"/>
      <w:r w:rsidRPr="00E27DA2">
        <w:rPr>
          <w:sz w:val="20"/>
          <w:szCs w:val="20"/>
          <w:lang w:val="en-US"/>
        </w:rPr>
        <w:t>Yaksic</w:t>
      </w:r>
      <w:proofErr w:type="spellEnd"/>
      <w:r w:rsidRPr="00E27DA2">
        <w:rPr>
          <w:sz w:val="20"/>
          <w:szCs w:val="20"/>
          <w:lang w:val="en-US"/>
        </w:rPr>
        <w:t>, A., Tilton J., 2009, Using the cumulative availability curve to assess the threat of mineral depletion: The case of lithium, Resources Policy 34, pp185-194.</w:t>
      </w:r>
    </w:p>
    <w:p w:rsidR="00B6712C" w:rsidRPr="00E27DA2" w:rsidRDefault="00B6712C" w:rsidP="00B6712C">
      <w:pPr>
        <w:pStyle w:val="Paragraphedeliste"/>
        <w:tabs>
          <w:tab w:val="left" w:pos="1134"/>
        </w:tabs>
        <w:spacing w:line="240" w:lineRule="auto"/>
        <w:ind w:left="0"/>
        <w:jc w:val="both"/>
        <w:rPr>
          <w:sz w:val="20"/>
          <w:szCs w:val="20"/>
          <w:lang w:val="en-US"/>
        </w:rPr>
      </w:pPr>
      <w:r w:rsidRPr="00E27DA2">
        <w:rPr>
          <w:sz w:val="20"/>
          <w:szCs w:val="20"/>
          <w:lang w:val="en-US"/>
        </w:rPr>
        <w:t>Yan Z., Du K., Yang Z., Deng M., 2017, Convergence or divergence? Understanding the global development trend of low-carbon technologies, Energy Policy 109, pp499–509</w:t>
      </w:r>
      <w:r>
        <w:rPr>
          <w:sz w:val="20"/>
          <w:szCs w:val="20"/>
          <w:lang w:val="en-US"/>
        </w:rPr>
        <w:t>.</w:t>
      </w:r>
    </w:p>
    <w:p w:rsidR="00DC69F1" w:rsidRDefault="00B6712C" w:rsidP="00667C27">
      <w:pPr>
        <w:pStyle w:val="Paragraphedeliste"/>
        <w:tabs>
          <w:tab w:val="left" w:pos="709"/>
          <w:tab w:val="left" w:pos="851"/>
        </w:tabs>
        <w:spacing w:line="240" w:lineRule="auto"/>
        <w:ind w:left="0"/>
        <w:jc w:val="both"/>
      </w:pPr>
      <w:r w:rsidRPr="00E27DA2">
        <w:rPr>
          <w:sz w:val="20"/>
          <w:szCs w:val="20"/>
          <w:lang w:val="en-US"/>
        </w:rPr>
        <w:t>Zeng X., Li J., Liu L., 2015, Solving spent lithium-ion battery problems in China: Opportunities and challenges, Renewable and Sustainable Energy Reviews 52, pp1759-1767.</w:t>
      </w:r>
    </w:p>
    <w:sectPr w:rsidR="00DC69F1"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8A" w:rsidRDefault="001E4C8A">
      <w:r>
        <w:separator/>
      </w:r>
    </w:p>
  </w:endnote>
  <w:endnote w:type="continuationSeparator" w:id="0">
    <w:p w:rsidR="001E4C8A" w:rsidRDefault="001E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8A" w:rsidRDefault="001E4C8A">
      <w:r>
        <w:separator/>
      </w:r>
    </w:p>
  </w:footnote>
  <w:footnote w:type="continuationSeparator" w:id="0">
    <w:p w:rsidR="001E4C8A" w:rsidRDefault="001E4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882"/>
    <w:multiLevelType w:val="hybridMultilevel"/>
    <w:tmpl w:val="D6EA6190"/>
    <w:lvl w:ilvl="0" w:tplc="B6740C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nsid w:val="24DC3391"/>
    <w:multiLevelType w:val="singleLevel"/>
    <w:tmpl w:val="0809000F"/>
    <w:lvl w:ilvl="0">
      <w:start w:val="1"/>
      <w:numFmt w:val="decimal"/>
      <w:lvlText w:val="%1."/>
      <w:lvlJc w:val="left"/>
      <w:pPr>
        <w:tabs>
          <w:tab w:val="num" w:pos="360"/>
        </w:tabs>
        <w:ind w:left="360" w:hanging="360"/>
      </w:pPr>
    </w:lvl>
  </w:abstractNum>
  <w:abstractNum w:abstractNumId="7">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8">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1905757"/>
    <w:multiLevelType w:val="hybridMultilevel"/>
    <w:tmpl w:val="C2B07174"/>
    <w:lvl w:ilvl="0" w:tplc="B6740C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F564C8"/>
    <w:multiLevelType w:val="singleLevel"/>
    <w:tmpl w:val="58169C78"/>
    <w:lvl w:ilvl="0">
      <w:start w:val="1"/>
      <w:numFmt w:val="decimal"/>
      <w:lvlText w:val="%1."/>
      <w:legacy w:legacy="1" w:legacySpace="0" w:legacyIndent="360"/>
      <w:lvlJc w:val="left"/>
      <w:pPr>
        <w:ind w:left="720" w:hanging="360"/>
      </w:pPr>
    </w:lvl>
  </w:abstractNum>
  <w:abstractNum w:abstractNumId="19">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1">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3">
    <w:nsid w:val="6B532831"/>
    <w:multiLevelType w:val="hybridMultilevel"/>
    <w:tmpl w:val="1B780F92"/>
    <w:lvl w:ilvl="0" w:tplc="B6740C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D774DC6"/>
    <w:multiLevelType w:val="hybridMultilevel"/>
    <w:tmpl w:val="DB8E858C"/>
    <w:lvl w:ilvl="0" w:tplc="0CD80550">
      <w:start w:val="1"/>
      <w:numFmt w:val="decimal"/>
      <w:lvlText w:val="[%1]"/>
      <w:lvlJc w:val="left"/>
      <w:pPr>
        <w:ind w:left="720" w:hanging="360"/>
      </w:pPr>
      <w:rPr>
        <w:rFonts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7">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2"/>
  </w:num>
  <w:num w:numId="3">
    <w:abstractNumId w:val="18"/>
  </w:num>
  <w:num w:numId="4">
    <w:abstractNumId w:val="3"/>
  </w:num>
  <w:num w:numId="5">
    <w:abstractNumId w:val="1"/>
  </w:num>
  <w:num w:numId="6">
    <w:abstractNumId w:val="28"/>
  </w:num>
  <w:num w:numId="7">
    <w:abstractNumId w:val="5"/>
  </w:num>
  <w:num w:numId="8">
    <w:abstractNumId w:val="14"/>
  </w:num>
  <w:num w:numId="9">
    <w:abstractNumId w:val="13"/>
  </w:num>
  <w:num w:numId="10">
    <w:abstractNumId w:val="24"/>
  </w:num>
  <w:num w:numId="11">
    <w:abstractNumId w:val="15"/>
  </w:num>
  <w:num w:numId="12">
    <w:abstractNumId w:val="8"/>
  </w:num>
  <w:num w:numId="13">
    <w:abstractNumId w:val="12"/>
  </w:num>
  <w:num w:numId="14">
    <w:abstractNumId w:val="21"/>
  </w:num>
  <w:num w:numId="15">
    <w:abstractNumId w:val="27"/>
  </w:num>
  <w:num w:numId="16">
    <w:abstractNumId w:val="9"/>
  </w:num>
  <w:num w:numId="17">
    <w:abstractNumId w:val="10"/>
  </w:num>
  <w:num w:numId="18">
    <w:abstractNumId w:val="4"/>
  </w:num>
  <w:num w:numId="19">
    <w:abstractNumId w:val="16"/>
  </w:num>
  <w:num w:numId="20">
    <w:abstractNumId w:val="11"/>
  </w:num>
  <w:num w:numId="21">
    <w:abstractNumId w:val="7"/>
  </w:num>
  <w:num w:numId="22">
    <w:abstractNumId w:val="19"/>
  </w:num>
  <w:num w:numId="23">
    <w:abstractNumId w:val="20"/>
  </w:num>
  <w:num w:numId="24">
    <w:abstractNumId w:val="26"/>
  </w:num>
  <w:num w:numId="25">
    <w:abstractNumId w:val="6"/>
  </w:num>
  <w:num w:numId="26">
    <w:abstractNumId w:val="23"/>
  </w:num>
  <w:num w:numId="27">
    <w:abstractNumId w:val="0"/>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1E4C8A"/>
    <w:rsid w:val="00204A48"/>
    <w:rsid w:val="002F69B6"/>
    <w:rsid w:val="003205E5"/>
    <w:rsid w:val="0041125D"/>
    <w:rsid w:val="00420E18"/>
    <w:rsid w:val="004A0C69"/>
    <w:rsid w:val="004A675F"/>
    <w:rsid w:val="004C048E"/>
    <w:rsid w:val="00516F0C"/>
    <w:rsid w:val="005A5112"/>
    <w:rsid w:val="00633A73"/>
    <w:rsid w:val="00647201"/>
    <w:rsid w:val="00667C27"/>
    <w:rsid w:val="00686670"/>
    <w:rsid w:val="00717658"/>
    <w:rsid w:val="00742552"/>
    <w:rsid w:val="007664A5"/>
    <w:rsid w:val="007F6920"/>
    <w:rsid w:val="009628BB"/>
    <w:rsid w:val="00972DB0"/>
    <w:rsid w:val="009A16EB"/>
    <w:rsid w:val="009B581D"/>
    <w:rsid w:val="00A96D21"/>
    <w:rsid w:val="00AF117F"/>
    <w:rsid w:val="00B02B7D"/>
    <w:rsid w:val="00B302A6"/>
    <w:rsid w:val="00B6712C"/>
    <w:rsid w:val="00C80C78"/>
    <w:rsid w:val="00CA0507"/>
    <w:rsid w:val="00D351D8"/>
    <w:rsid w:val="00DB0029"/>
    <w:rsid w:val="00DC69F1"/>
    <w:rsid w:val="00E046B2"/>
    <w:rsid w:val="00E054BF"/>
    <w:rsid w:val="00E27DA2"/>
    <w:rsid w:val="00E3500A"/>
    <w:rsid w:val="00E86ECC"/>
    <w:rsid w:val="00E9636B"/>
    <w:rsid w:val="00EB79E3"/>
    <w:rsid w:val="00EE5954"/>
    <w:rsid w:val="00F344CF"/>
    <w:rsid w:val="00F3758D"/>
    <w:rsid w:val="00FC7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eastAsia="en-US"/>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Corpsdetexte20">
    <w:name w:val="Body Text 2"/>
    <w:basedOn w:val="Normal"/>
    <w:pPr>
      <w:ind w:firstLine="360"/>
      <w:jc w:val="both"/>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character" w:styleId="Appelnotedebasdep">
    <w:name w:val="footnote reference"/>
    <w:uiPriority w:val="99"/>
    <w:rsid w:val="00E27DA2"/>
    <w:rPr>
      <w:rFonts w:cs="Times New Roman"/>
      <w:vertAlign w:val="superscript"/>
    </w:rPr>
  </w:style>
  <w:style w:type="paragraph" w:styleId="Paragraphedeliste">
    <w:name w:val="List Paragraph"/>
    <w:basedOn w:val="Normal"/>
    <w:uiPriority w:val="34"/>
    <w:qFormat/>
    <w:rsid w:val="00E27DA2"/>
    <w:pPr>
      <w:spacing w:line="336" w:lineRule="auto"/>
      <w:ind w:left="720"/>
      <w:contextualSpacing/>
    </w:pPr>
    <w:rPr>
      <w:sz w:val="24"/>
      <w:szCs w:val="24"/>
      <w:lang w:val="fr-FR"/>
    </w:rPr>
  </w:style>
  <w:style w:type="paragraph" w:styleId="Notedebasdepage">
    <w:name w:val="footnote text"/>
    <w:basedOn w:val="Normal"/>
    <w:link w:val="NotedebasdepageCar1"/>
    <w:uiPriority w:val="99"/>
    <w:unhideWhenUsed/>
    <w:rsid w:val="00E27DA2"/>
    <w:rPr>
      <w:lang w:val="fr-FR"/>
    </w:rPr>
  </w:style>
  <w:style w:type="character" w:customStyle="1" w:styleId="NotedebasdepageCar">
    <w:name w:val="Note de bas de page Car"/>
    <w:rsid w:val="00E27DA2"/>
    <w:rPr>
      <w:rFonts w:ascii="Times New Roman" w:hAnsi="Times New Roman"/>
      <w:lang w:val="en-GB" w:eastAsia="en-US"/>
    </w:rPr>
  </w:style>
  <w:style w:type="character" w:customStyle="1" w:styleId="NotedebasdepageCar1">
    <w:name w:val="Note de bas de page Car1"/>
    <w:link w:val="Notedebasdepage"/>
    <w:uiPriority w:val="99"/>
    <w:rsid w:val="00E27DA2"/>
    <w:rPr>
      <w:rFonts w:ascii="Times New Roman" w:hAnsi="Times New Roman"/>
      <w:lang w:eastAsia="en-US"/>
    </w:rPr>
  </w:style>
  <w:style w:type="paragraph" w:styleId="Lgende">
    <w:name w:val="caption"/>
    <w:basedOn w:val="Normal"/>
    <w:next w:val="Normal"/>
    <w:uiPriority w:val="35"/>
    <w:unhideWhenUsed/>
    <w:qFormat/>
    <w:rsid w:val="00C80C78"/>
    <w:pPr>
      <w:spacing w:after="200"/>
    </w:pPr>
    <w:rPr>
      <w:b/>
      <w:bCs/>
      <w:color w:val="4F81BD"/>
      <w:sz w:val="18"/>
      <w:szCs w:val="18"/>
      <w:lang w:val="fr-FR"/>
    </w:rPr>
  </w:style>
  <w:style w:type="table" w:styleId="Grilledutableau">
    <w:name w:val="Table Grid"/>
    <w:basedOn w:val="TableauNormal"/>
    <w:uiPriority w:val="59"/>
    <w:rsid w:val="00C80C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67C27"/>
    <w:rPr>
      <w:rFonts w:ascii="Tahoma" w:hAnsi="Tahoma" w:cs="Tahoma"/>
      <w:sz w:val="16"/>
      <w:szCs w:val="16"/>
    </w:rPr>
  </w:style>
  <w:style w:type="character" w:customStyle="1" w:styleId="TextedebullesCar">
    <w:name w:val="Texte de bulles Car"/>
    <w:link w:val="Textedebulles"/>
    <w:rsid w:val="00667C2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eastAsia="en-US"/>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Corpsdetexte20">
    <w:name w:val="Body Text 2"/>
    <w:basedOn w:val="Normal"/>
    <w:pPr>
      <w:ind w:firstLine="360"/>
      <w:jc w:val="both"/>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character" w:styleId="Appelnotedebasdep">
    <w:name w:val="footnote reference"/>
    <w:uiPriority w:val="99"/>
    <w:rsid w:val="00E27DA2"/>
    <w:rPr>
      <w:rFonts w:cs="Times New Roman"/>
      <w:vertAlign w:val="superscript"/>
    </w:rPr>
  </w:style>
  <w:style w:type="paragraph" w:styleId="Paragraphedeliste">
    <w:name w:val="List Paragraph"/>
    <w:basedOn w:val="Normal"/>
    <w:uiPriority w:val="34"/>
    <w:qFormat/>
    <w:rsid w:val="00E27DA2"/>
    <w:pPr>
      <w:spacing w:line="336" w:lineRule="auto"/>
      <w:ind w:left="720"/>
      <w:contextualSpacing/>
    </w:pPr>
    <w:rPr>
      <w:sz w:val="24"/>
      <w:szCs w:val="24"/>
      <w:lang w:val="fr-FR"/>
    </w:rPr>
  </w:style>
  <w:style w:type="paragraph" w:styleId="Notedebasdepage">
    <w:name w:val="footnote text"/>
    <w:basedOn w:val="Normal"/>
    <w:link w:val="NotedebasdepageCar1"/>
    <w:uiPriority w:val="99"/>
    <w:unhideWhenUsed/>
    <w:rsid w:val="00E27DA2"/>
    <w:rPr>
      <w:lang w:val="fr-FR"/>
    </w:rPr>
  </w:style>
  <w:style w:type="character" w:customStyle="1" w:styleId="NotedebasdepageCar">
    <w:name w:val="Note de bas de page Car"/>
    <w:rsid w:val="00E27DA2"/>
    <w:rPr>
      <w:rFonts w:ascii="Times New Roman" w:hAnsi="Times New Roman"/>
      <w:lang w:val="en-GB" w:eastAsia="en-US"/>
    </w:rPr>
  </w:style>
  <w:style w:type="character" w:customStyle="1" w:styleId="NotedebasdepageCar1">
    <w:name w:val="Note de bas de page Car1"/>
    <w:link w:val="Notedebasdepage"/>
    <w:uiPriority w:val="99"/>
    <w:rsid w:val="00E27DA2"/>
    <w:rPr>
      <w:rFonts w:ascii="Times New Roman" w:hAnsi="Times New Roman"/>
      <w:lang w:eastAsia="en-US"/>
    </w:rPr>
  </w:style>
  <w:style w:type="paragraph" w:styleId="Lgende">
    <w:name w:val="caption"/>
    <w:basedOn w:val="Normal"/>
    <w:next w:val="Normal"/>
    <w:uiPriority w:val="35"/>
    <w:unhideWhenUsed/>
    <w:qFormat/>
    <w:rsid w:val="00C80C78"/>
    <w:pPr>
      <w:spacing w:after="200"/>
    </w:pPr>
    <w:rPr>
      <w:b/>
      <w:bCs/>
      <w:color w:val="4F81BD"/>
      <w:sz w:val="18"/>
      <w:szCs w:val="18"/>
      <w:lang w:val="fr-FR"/>
    </w:rPr>
  </w:style>
  <w:style w:type="table" w:styleId="Grilledutableau">
    <w:name w:val="Table Grid"/>
    <w:basedOn w:val="TableauNormal"/>
    <w:uiPriority w:val="59"/>
    <w:rsid w:val="00C80C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67C27"/>
    <w:rPr>
      <w:rFonts w:ascii="Tahoma" w:hAnsi="Tahoma" w:cs="Tahoma"/>
      <w:sz w:val="16"/>
      <w:szCs w:val="16"/>
    </w:rPr>
  </w:style>
  <w:style w:type="character" w:customStyle="1" w:styleId="TextedebullesCar">
    <w:name w:val="Texte de bulles Car"/>
    <w:link w:val="Textedebulles"/>
    <w:rsid w:val="00667C2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mmanuel.hache@ifpen.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ndia-sokhna.seck@ifp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1384</Words>
  <Characters>7615</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University of Groningen</Company>
  <LinksUpToDate>false</LinksUpToDate>
  <CharactersWithSpaces>8982</CharactersWithSpaces>
  <SharedDoc>false</SharedDoc>
  <HLinks>
    <vt:vector size="12" baseType="variant">
      <vt:variant>
        <vt:i4>4587623</vt:i4>
      </vt:variant>
      <vt:variant>
        <vt:i4>3</vt:i4>
      </vt:variant>
      <vt:variant>
        <vt:i4>0</vt:i4>
      </vt:variant>
      <vt:variant>
        <vt:i4>5</vt:i4>
      </vt:variant>
      <vt:variant>
        <vt:lpwstr>mailto:gondia-sokhna.seck@ifpen.fr</vt:lpwstr>
      </vt:variant>
      <vt:variant>
        <vt:lpwstr/>
      </vt:variant>
      <vt:variant>
        <vt:i4>5832736</vt:i4>
      </vt:variant>
      <vt:variant>
        <vt:i4>0</vt:i4>
      </vt:variant>
      <vt:variant>
        <vt:i4>0</vt:i4>
      </vt:variant>
      <vt:variant>
        <vt:i4>5</vt:i4>
      </vt:variant>
      <vt:variant>
        <vt:lpwstr>mailto:emmanuel.hache@ifpen.fr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HACHE Emmanuel</cp:lastModifiedBy>
  <cp:revision>2</cp:revision>
  <cp:lastPrinted>2012-01-19T09:58:00Z</cp:lastPrinted>
  <dcterms:created xsi:type="dcterms:W3CDTF">2020-01-23T14:15:00Z</dcterms:created>
  <dcterms:modified xsi:type="dcterms:W3CDTF">2020-01-23T14:15:00Z</dcterms:modified>
</cp:coreProperties>
</file>