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822C" w14:textId="77777777" w:rsidR="006E5292" w:rsidRPr="001302C0" w:rsidRDefault="006E5292" w:rsidP="006E529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Hlk67347784"/>
      <w:r w:rsidRPr="001302C0">
        <w:rPr>
          <w:rFonts w:ascii="Times New Roman" w:hAnsi="Times New Roman"/>
          <w:b/>
          <w:color w:val="000000"/>
          <w:sz w:val="24"/>
          <w:szCs w:val="24"/>
        </w:rPr>
        <w:t>Policy Support in Promoting Green Bonds in Asia</w:t>
      </w:r>
      <w:bookmarkEnd w:id="0"/>
      <w:r w:rsidRPr="001302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A8791BF" w14:textId="77777777" w:rsidR="006E5292" w:rsidRPr="001302C0" w:rsidRDefault="006E5292" w:rsidP="006E529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02C0">
        <w:rPr>
          <w:rFonts w:ascii="Times New Roman" w:hAnsi="Times New Roman"/>
          <w:color w:val="000000"/>
          <w:sz w:val="24"/>
          <w:szCs w:val="24"/>
        </w:rPr>
        <w:t xml:space="preserve">Dina </w:t>
      </w:r>
      <w:proofErr w:type="spellStart"/>
      <w:r w:rsidRPr="001302C0">
        <w:rPr>
          <w:rFonts w:ascii="Times New Roman" w:hAnsi="Times New Roman"/>
          <w:color w:val="000000"/>
          <w:sz w:val="24"/>
          <w:szCs w:val="24"/>
        </w:rPr>
        <w:t>Azhgaliyeva</w:t>
      </w:r>
      <w:r w:rsidRPr="001302C0"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proofErr w:type="spellEnd"/>
      <w:r w:rsidRPr="001302C0">
        <w:rPr>
          <w:rFonts w:ascii="Times New Roman" w:hAnsi="Times New Roman"/>
          <w:color w:val="000000"/>
          <w:sz w:val="24"/>
          <w:szCs w:val="24"/>
        </w:rPr>
        <w:t xml:space="preserve"> and Zhanna </w:t>
      </w:r>
      <w:proofErr w:type="spellStart"/>
      <w:r w:rsidRPr="001302C0">
        <w:rPr>
          <w:rFonts w:ascii="Times New Roman" w:hAnsi="Times New Roman"/>
          <w:color w:val="000000"/>
          <w:sz w:val="24"/>
          <w:szCs w:val="24"/>
        </w:rPr>
        <w:t>Kapsalyamova</w:t>
      </w:r>
      <w:r w:rsidRPr="001302C0">
        <w:rPr>
          <w:rFonts w:ascii="Times New Roman" w:hAnsi="Times New Roman"/>
          <w:color w:val="000000"/>
          <w:sz w:val="24"/>
          <w:szCs w:val="24"/>
          <w:vertAlign w:val="superscript"/>
        </w:rPr>
        <w:t>b</w:t>
      </w:r>
      <w:proofErr w:type="spellEnd"/>
      <w:r w:rsidRPr="001302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EF3C55" w14:textId="77777777" w:rsidR="006E5292" w:rsidRPr="001302C0" w:rsidRDefault="006E5292" w:rsidP="006E529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302C0">
        <w:rPr>
          <w:rFonts w:ascii="Times New Roman" w:hAnsi="Times New Roman"/>
          <w:color w:val="000000"/>
          <w:sz w:val="20"/>
          <w:szCs w:val="20"/>
          <w:vertAlign w:val="superscript"/>
        </w:rPr>
        <w:t>a</w:t>
      </w:r>
      <w:proofErr w:type="gramEnd"/>
      <w:r w:rsidRPr="001302C0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Pr="001302C0">
        <w:rPr>
          <w:rFonts w:ascii="Times New Roman" w:hAnsi="Times New Roman"/>
          <w:color w:val="000000"/>
          <w:sz w:val="20"/>
          <w:szCs w:val="20"/>
        </w:rPr>
        <w:t xml:space="preserve">Asian Development Bank Institute, </w:t>
      </w:r>
      <w:r w:rsidRPr="001302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Kasumigaseki Building 8F, 3-2-5, Kasumigaseki, Chiyoda-</w:t>
      </w:r>
      <w:proofErr w:type="spellStart"/>
      <w:r w:rsidRPr="001302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ku</w:t>
      </w:r>
      <w:proofErr w:type="spellEnd"/>
      <w:r w:rsidRPr="001302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Tokyo 100-6008, Japan, e-mail: dazhgaliyeva@adbi.org</w:t>
      </w:r>
    </w:p>
    <w:p w14:paraId="7DEA4A96" w14:textId="77777777" w:rsidR="006E5292" w:rsidRPr="001302C0" w:rsidRDefault="006E5292" w:rsidP="006E5292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1302C0">
        <w:rPr>
          <w:rFonts w:ascii="Times New Roman" w:hAnsi="Times New Roman"/>
          <w:color w:val="000000"/>
          <w:sz w:val="20"/>
          <w:szCs w:val="20"/>
          <w:vertAlign w:val="superscript"/>
        </w:rPr>
        <w:t>b</w:t>
      </w:r>
      <w:r w:rsidRPr="001302C0">
        <w:rPr>
          <w:rFonts w:ascii="Times New Roman" w:hAnsi="Times New Roman"/>
          <w:color w:val="000000"/>
          <w:sz w:val="20"/>
          <w:szCs w:val="20"/>
        </w:rPr>
        <w:t xml:space="preserve"> School of Sciences and Humanities, EREC, Nazarbayev University, 53 </w:t>
      </w:r>
      <w:proofErr w:type="spellStart"/>
      <w:r w:rsidRPr="001302C0">
        <w:rPr>
          <w:rFonts w:ascii="Times New Roman" w:hAnsi="Times New Roman"/>
          <w:color w:val="000000"/>
          <w:sz w:val="20"/>
          <w:szCs w:val="20"/>
        </w:rPr>
        <w:t>Kabanbay</w:t>
      </w:r>
      <w:proofErr w:type="spellEnd"/>
      <w:r w:rsidRPr="001302C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302C0">
        <w:rPr>
          <w:rFonts w:ascii="Times New Roman" w:hAnsi="Times New Roman"/>
          <w:color w:val="000000"/>
          <w:sz w:val="20"/>
          <w:szCs w:val="20"/>
        </w:rPr>
        <w:t>batir</w:t>
      </w:r>
      <w:proofErr w:type="spellEnd"/>
      <w:r w:rsidRPr="001302C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302C0">
        <w:rPr>
          <w:rFonts w:ascii="Times New Roman" w:hAnsi="Times New Roman"/>
          <w:color w:val="000000"/>
          <w:sz w:val="20"/>
          <w:szCs w:val="20"/>
        </w:rPr>
        <w:t>ave.</w:t>
      </w:r>
      <w:proofErr w:type="spellEnd"/>
      <w:r w:rsidRPr="001302C0">
        <w:rPr>
          <w:rFonts w:ascii="Times New Roman" w:hAnsi="Times New Roman"/>
          <w:color w:val="000000"/>
          <w:sz w:val="20"/>
          <w:szCs w:val="20"/>
        </w:rPr>
        <w:t>, 010000, Nur-Sultan, Kazakhstan, e-mail: zhanna.kapsalyamova@nu.edu.kz</w:t>
      </w:r>
    </w:p>
    <w:p w14:paraId="203C6829" w14:textId="77777777" w:rsidR="006E5292" w:rsidRPr="001302C0" w:rsidRDefault="006E5292" w:rsidP="006E5292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874B68D" w14:textId="77777777" w:rsidR="006E5292" w:rsidRPr="001302C0" w:rsidRDefault="006E5292" w:rsidP="006E529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08C07E7" w14:textId="77777777" w:rsidR="006E5292" w:rsidRPr="001302C0" w:rsidRDefault="006E5292" w:rsidP="006E529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02C0">
        <w:rPr>
          <w:rFonts w:ascii="Times New Roman" w:hAnsi="Times New Roman"/>
          <w:b/>
          <w:color w:val="000000"/>
          <w:sz w:val="24"/>
          <w:szCs w:val="24"/>
        </w:rPr>
        <w:t xml:space="preserve">Abstract </w:t>
      </w:r>
    </w:p>
    <w:p w14:paraId="57180A19" w14:textId="77777777" w:rsidR="006E5292" w:rsidRDefault="006E5292" w:rsidP="006E5292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302C0">
        <w:rPr>
          <w:rFonts w:ascii="Times New Roman" w:hAnsi="Times New Roman"/>
          <w:color w:val="000000"/>
          <w:sz w:val="20"/>
          <w:szCs w:val="20"/>
        </w:rPr>
        <w:t xml:space="preserve">Private green finance is imperative for climate change mitigation and adaptation; however, the share of private green finance remains low, and the studies that tackle the efficacy of policy instruments to promote green finance are limited. </w:t>
      </w:r>
      <w:r>
        <w:rPr>
          <w:rFonts w:ascii="Times New Roman" w:hAnsi="Times New Roman"/>
          <w:color w:val="000000"/>
          <w:sz w:val="20"/>
          <w:szCs w:val="20"/>
        </w:rPr>
        <w:t xml:space="preserve">Many countries, especially from Asia, implemented different policies to incentivize issuance of green bonds by the private sector.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However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there is a lack of empirical evidence on the effectiveness of such policies. To date this is the first study providing empirical evidence on the effectiveness of a broad range of green bond policies on the issuance of green bonds. </w:t>
      </w:r>
      <w:r w:rsidRPr="001302C0">
        <w:rPr>
          <w:rFonts w:ascii="Times New Roman" w:hAnsi="Times New Roman"/>
          <w:color w:val="000000"/>
          <w:sz w:val="20"/>
          <w:szCs w:val="20"/>
        </w:rPr>
        <w:t>Given the nascent nature of green bonds, this paper documents the effects of several policy instruments in supporting green bonds on the private sector green bonds issuance for 58 green-bond issuing countries, including 11 countries from Asia, over the period January 2010 – June 2020. Using the difference-in-difference specification within the multilevel longitudinal model the paper finds that some green bond policies, such as green bond grants and tax</w:t>
      </w:r>
      <w:r>
        <w:rPr>
          <w:rFonts w:ascii="Times New Roman" w:hAnsi="Times New Roman"/>
          <w:color w:val="000000"/>
          <w:sz w:val="20"/>
          <w:szCs w:val="20"/>
        </w:rPr>
        <w:t>; and cooperation and policy, signals</w:t>
      </w:r>
      <w:r w:rsidRPr="001302C0">
        <w:rPr>
          <w:rFonts w:ascii="Times New Roman" w:hAnsi="Times New Roman"/>
          <w:color w:val="000000"/>
          <w:sz w:val="20"/>
          <w:szCs w:val="20"/>
        </w:rPr>
        <w:t xml:space="preserve"> incentives are effective in promoting the issuance of green bonds in the private sector in Asia. </w:t>
      </w:r>
      <w:r>
        <w:rPr>
          <w:rFonts w:ascii="Times New Roman" w:hAnsi="Times New Roman"/>
          <w:color w:val="000000"/>
          <w:sz w:val="20"/>
          <w:szCs w:val="20"/>
        </w:rPr>
        <w:t xml:space="preserve">Regional cooperation and standardization incentivized private green bond issuance in the EU, but not in the </w:t>
      </w:r>
      <w:r w:rsidRPr="002230A7">
        <w:rPr>
          <w:rFonts w:ascii="Times New Roman" w:hAnsi="Times New Roman"/>
          <w:color w:val="000000"/>
          <w:sz w:val="20"/>
          <w:szCs w:val="20"/>
        </w:rPr>
        <w:t>Association of Southeast Asian Nations</w:t>
      </w:r>
      <w:r>
        <w:rPr>
          <w:rFonts w:ascii="Times New Roman" w:hAnsi="Times New Roman"/>
          <w:color w:val="000000"/>
          <w:sz w:val="20"/>
          <w:szCs w:val="20"/>
        </w:rPr>
        <w:t xml:space="preserve"> region. Global cooperation and international standardization had a positive impact on issuance of private green bonds.</w:t>
      </w:r>
    </w:p>
    <w:p w14:paraId="799EA30C" w14:textId="77777777" w:rsidR="006E5292" w:rsidRPr="001302C0" w:rsidRDefault="006E5292" w:rsidP="006E5292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5E20848" w14:textId="77777777" w:rsidR="006E5292" w:rsidRPr="001302C0" w:rsidRDefault="006E5292" w:rsidP="006E529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302C0">
        <w:rPr>
          <w:rFonts w:ascii="Times New Roman" w:hAnsi="Times New Roman"/>
          <w:i/>
          <w:color w:val="000000"/>
          <w:sz w:val="24"/>
          <w:szCs w:val="24"/>
        </w:rPr>
        <w:t xml:space="preserve">JEL classification: </w:t>
      </w:r>
      <w:r w:rsidRPr="001302C0">
        <w:rPr>
          <w:rFonts w:ascii="Times New Roman" w:hAnsi="Times New Roman"/>
          <w:color w:val="000000"/>
          <w:sz w:val="24"/>
          <w:szCs w:val="24"/>
        </w:rPr>
        <w:t>Q28, Q42, Q48, G23</w:t>
      </w:r>
    </w:p>
    <w:p w14:paraId="5B6494FC" w14:textId="77777777" w:rsidR="006E5292" w:rsidRPr="001302C0" w:rsidRDefault="006E5292" w:rsidP="006E5292">
      <w:pPr>
        <w:spacing w:line="240" w:lineRule="auto"/>
        <w:rPr>
          <w:rFonts w:ascii="Times New Roman" w:hAnsi="Times New Roman"/>
          <w:color w:val="000000"/>
        </w:rPr>
      </w:pPr>
      <w:r w:rsidRPr="001302C0">
        <w:rPr>
          <w:rFonts w:ascii="Times New Roman" w:hAnsi="Times New Roman"/>
          <w:i/>
          <w:color w:val="000000"/>
          <w:sz w:val="24"/>
          <w:szCs w:val="24"/>
        </w:rPr>
        <w:t xml:space="preserve">Keywords: </w:t>
      </w:r>
      <w:r w:rsidRPr="001302C0">
        <w:rPr>
          <w:rFonts w:ascii="Times New Roman" w:hAnsi="Times New Roman"/>
          <w:color w:val="000000"/>
          <w:sz w:val="24"/>
          <w:szCs w:val="24"/>
        </w:rPr>
        <w:t>Green bonds; Green finance; Policy support; Asia</w:t>
      </w:r>
    </w:p>
    <w:p w14:paraId="10CCE5B2" w14:textId="77777777" w:rsidR="00906AB8" w:rsidRDefault="00906AB8"/>
    <w:sectPr w:rsidR="00906AB8" w:rsidSect="00B7235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068E5"/>
    <w:multiLevelType w:val="hybridMultilevel"/>
    <w:tmpl w:val="C1EA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2"/>
    <w:rsid w:val="006E5292"/>
    <w:rsid w:val="00906AB8"/>
    <w:rsid w:val="00B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BD6A"/>
  <w15:chartTrackingRefBased/>
  <w15:docId w15:val="{74997192-2E2A-4C6D-B45C-10E666A3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Asian Development Bank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Azhgaliyeva</dc:creator>
  <cp:keywords/>
  <dc:description/>
  <cp:lastModifiedBy>Dina Azhgaliyeva</cp:lastModifiedBy>
  <cp:revision>1</cp:revision>
  <dcterms:created xsi:type="dcterms:W3CDTF">2021-04-02T00:37:00Z</dcterms:created>
  <dcterms:modified xsi:type="dcterms:W3CDTF">2021-04-02T00:37:00Z</dcterms:modified>
</cp:coreProperties>
</file>