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7495" w14:textId="77777777" w:rsidR="0090758C" w:rsidRDefault="0090758C" w:rsidP="0090758C">
      <w:pPr>
        <w:pStyle w:val="Textkrper"/>
        <w:framePr w:w="10830" w:h="2941" w:hRule="exact" w:hSpace="187" w:wrap="auto" w:vAnchor="page" w:hAnchor="page" w:x="714" w:y="946"/>
        <w:rPr>
          <w:b/>
          <w:i/>
          <w:caps/>
          <w:sz w:val="28"/>
          <w:szCs w:val="28"/>
          <w:lang w:val="en-US"/>
        </w:rPr>
      </w:pPr>
      <w:r w:rsidRPr="00352FDE">
        <w:rPr>
          <w:b/>
          <w:i/>
          <w:caps/>
          <w:sz w:val="28"/>
          <w:szCs w:val="28"/>
          <w:lang w:val="en-US"/>
        </w:rPr>
        <w:t>The potential</w:t>
      </w:r>
      <w:r>
        <w:rPr>
          <w:b/>
          <w:i/>
          <w:caps/>
          <w:sz w:val="28"/>
          <w:szCs w:val="28"/>
          <w:lang w:val="en-US"/>
        </w:rPr>
        <w:t xml:space="preserve"> IMPACT</w:t>
      </w:r>
      <w:r w:rsidRPr="00352FDE">
        <w:rPr>
          <w:b/>
          <w:i/>
          <w:caps/>
          <w:sz w:val="28"/>
          <w:szCs w:val="28"/>
          <w:lang w:val="en-US"/>
        </w:rPr>
        <w:t xml:space="preserve"> of sufficiency measures</w:t>
      </w:r>
      <w:r>
        <w:rPr>
          <w:b/>
          <w:i/>
          <w:caps/>
          <w:sz w:val="28"/>
          <w:szCs w:val="28"/>
          <w:lang w:val="en-US"/>
        </w:rPr>
        <w:t xml:space="preserve"> on energy demand and supply patterns – a model-based scenario analysis for Germany</w:t>
      </w:r>
    </w:p>
    <w:p w14:paraId="11FB7350" w14:textId="77777777" w:rsidR="0090758C" w:rsidRPr="0090758C" w:rsidRDefault="0090758C" w:rsidP="0090758C">
      <w:pPr>
        <w:pStyle w:val="Textkrper"/>
        <w:framePr w:w="10830" w:h="2941" w:hRule="exact" w:hSpace="187" w:wrap="auto" w:vAnchor="page" w:hAnchor="page" w:x="714" w:y="946"/>
        <w:jc w:val="right"/>
        <w:rPr>
          <w:sz w:val="20"/>
          <w:lang w:val="en-US"/>
        </w:rPr>
      </w:pPr>
    </w:p>
    <w:p w14:paraId="76838F36" w14:textId="77777777" w:rsidR="00AD216F" w:rsidRPr="007677D5" w:rsidRDefault="00AD216F" w:rsidP="0090758C">
      <w:pPr>
        <w:pStyle w:val="Textkrper"/>
        <w:framePr w:w="10830" w:h="2941" w:hRule="exact" w:hSpace="187" w:wrap="auto" w:vAnchor="page" w:hAnchor="page" w:x="714" w:y="946"/>
        <w:jc w:val="right"/>
        <w:rPr>
          <w:sz w:val="20"/>
          <w:lang w:val="en-US"/>
        </w:rPr>
      </w:pPr>
      <w:r w:rsidRPr="007677D5">
        <w:rPr>
          <w:sz w:val="20"/>
          <w:lang w:val="en-US"/>
        </w:rPr>
        <w:t xml:space="preserve">Gro Lill Økland, </w:t>
      </w:r>
      <w:r w:rsidR="007677D5">
        <w:rPr>
          <w:lang w:val="en-US"/>
        </w:rPr>
        <w:t>NTNU, Norway and TU Berlin, Germany</w:t>
      </w:r>
      <w:r w:rsidRPr="007677D5">
        <w:rPr>
          <w:sz w:val="20"/>
          <w:lang w:val="en-US"/>
        </w:rPr>
        <w:t>, okland@campus.tu-berlin.de</w:t>
      </w:r>
    </w:p>
    <w:p w14:paraId="301A11F0" w14:textId="77777777" w:rsidR="00AD216F" w:rsidRDefault="00AD216F" w:rsidP="0090758C">
      <w:pPr>
        <w:pStyle w:val="Textkrper"/>
        <w:framePr w:w="10830" w:h="2941" w:hRule="exact" w:hSpace="187" w:wrap="auto" w:vAnchor="page" w:hAnchor="page" w:x="714" w:y="946"/>
        <w:jc w:val="right"/>
        <w:rPr>
          <w:sz w:val="20"/>
          <w:lang w:val="de-DE"/>
        </w:rPr>
      </w:pPr>
      <w:r w:rsidRPr="00AD216F">
        <w:rPr>
          <w:sz w:val="20"/>
          <w:lang w:val="de-DE"/>
        </w:rPr>
        <w:t>Elmar Zozmann, TU Berlin (WIP), ez@wip.tu-berlin.de</w:t>
      </w:r>
    </w:p>
    <w:p w14:paraId="732EFFD2" w14:textId="77777777" w:rsidR="00AD216F" w:rsidRPr="00AD216F" w:rsidRDefault="00AD216F" w:rsidP="0090758C">
      <w:pPr>
        <w:pStyle w:val="Textkrper"/>
        <w:framePr w:w="10830" w:h="2941" w:hRule="exact" w:hSpace="187" w:wrap="auto" w:vAnchor="page" w:hAnchor="page" w:x="714" w:y="946"/>
        <w:jc w:val="right"/>
        <w:rPr>
          <w:sz w:val="20"/>
          <w:lang w:val="de-DE"/>
        </w:rPr>
      </w:pPr>
    </w:p>
    <w:p w14:paraId="6D19211C" w14:textId="77777777" w:rsidR="00AD216F" w:rsidRPr="00AD216F" w:rsidRDefault="0090758C" w:rsidP="0090758C">
      <w:pPr>
        <w:pStyle w:val="Textkrper"/>
        <w:framePr w:w="10830" w:h="2941" w:hRule="exact" w:hSpace="187" w:wrap="auto" w:vAnchor="page" w:hAnchor="page" w:x="714" w:y="946"/>
        <w:jc w:val="right"/>
        <w:rPr>
          <w:sz w:val="20"/>
          <w:lang w:val="en-US"/>
        </w:rPr>
      </w:pPr>
      <w:r w:rsidRPr="00AD216F">
        <w:rPr>
          <w:sz w:val="20"/>
          <w:lang w:val="en-US"/>
        </w:rPr>
        <w:t>with a research study team including Alfredo Zamora Blaumann,</w:t>
      </w:r>
      <w:r w:rsidR="00AD216F" w:rsidRPr="00AD216F">
        <w:rPr>
          <w:sz w:val="20"/>
          <w:lang w:val="en-US"/>
        </w:rPr>
        <w:t xml:space="preserve"> </w:t>
      </w:r>
      <w:r w:rsidRPr="00AD216F">
        <w:rPr>
          <w:sz w:val="20"/>
          <w:lang w:val="en-US"/>
        </w:rPr>
        <w:t>Michel Kevin Caibigan,</w:t>
      </w:r>
    </w:p>
    <w:p w14:paraId="781818E5" w14:textId="77777777" w:rsidR="006C41C5" w:rsidRPr="00AD216F" w:rsidRDefault="0090758C" w:rsidP="0090758C">
      <w:pPr>
        <w:pStyle w:val="Textkrper"/>
        <w:framePr w:w="10830" w:h="2941" w:hRule="exact" w:hSpace="187" w:wrap="auto" w:vAnchor="page" w:hAnchor="page" w:x="714" w:y="946"/>
        <w:jc w:val="right"/>
        <w:rPr>
          <w:sz w:val="20"/>
          <w:lang w:val="es-ES"/>
        </w:rPr>
      </w:pPr>
      <w:r w:rsidRPr="00AD216F">
        <w:rPr>
          <w:sz w:val="20"/>
          <w:lang w:val="es-ES"/>
        </w:rPr>
        <w:t xml:space="preserve">Mirjam Helena Eerma, </w:t>
      </w:r>
      <w:r w:rsidR="006C41C5" w:rsidRPr="00AD216F">
        <w:rPr>
          <w:sz w:val="20"/>
          <w:lang w:val="es-ES"/>
        </w:rPr>
        <w:t>Dylan Manning, Citlali Rodriguez del Angel,</w:t>
      </w:r>
    </w:p>
    <w:p w14:paraId="4F7FEE6B" w14:textId="77777777" w:rsidR="006C41C5" w:rsidRPr="00BA1EA5" w:rsidRDefault="0090758C" w:rsidP="0090758C">
      <w:pPr>
        <w:pStyle w:val="Textkrper"/>
        <w:framePr w:w="10830" w:h="2941" w:hRule="exact" w:hSpace="187" w:wrap="auto" w:vAnchor="page" w:hAnchor="page" w:x="714" w:y="946"/>
        <w:jc w:val="right"/>
        <w:rPr>
          <w:sz w:val="20"/>
          <w:lang w:val="es-ES"/>
        </w:rPr>
      </w:pPr>
      <w:r w:rsidRPr="00BA1EA5">
        <w:rPr>
          <w:sz w:val="20"/>
          <w:lang w:val="es-ES"/>
        </w:rPr>
        <w:t>Seyed</w:t>
      </w:r>
      <w:r w:rsidR="008F5750" w:rsidRPr="00BA1EA5">
        <w:rPr>
          <w:sz w:val="20"/>
          <w:lang w:val="es-ES"/>
        </w:rPr>
        <w:t>s</w:t>
      </w:r>
      <w:r w:rsidRPr="00BA1EA5">
        <w:rPr>
          <w:sz w:val="20"/>
          <w:lang w:val="es-ES"/>
        </w:rPr>
        <w:t>aeed Hosseinioun,</w:t>
      </w:r>
      <w:r w:rsidR="00BA1EA5" w:rsidRPr="00BA1EA5">
        <w:rPr>
          <w:sz w:val="20"/>
          <w:lang w:val="es-ES"/>
        </w:rPr>
        <w:t xml:space="preserve"> </w:t>
      </w:r>
      <w:r w:rsidRPr="00BA1EA5">
        <w:rPr>
          <w:sz w:val="20"/>
          <w:lang w:val="es-ES"/>
        </w:rPr>
        <w:t>Carl-Christian Klötzsch, Morteza Lavaiyan,</w:t>
      </w:r>
    </w:p>
    <w:p w14:paraId="79EA67FE" w14:textId="77777777" w:rsidR="0090758C" w:rsidRPr="0090758C" w:rsidRDefault="0090758C" w:rsidP="0090758C">
      <w:pPr>
        <w:pStyle w:val="Textkrper"/>
        <w:framePr w:w="10830" w:h="2941" w:hRule="exact" w:hSpace="187" w:wrap="auto" w:vAnchor="page" w:hAnchor="page" w:x="714" w:y="946"/>
        <w:jc w:val="right"/>
        <w:rPr>
          <w:b/>
          <w:sz w:val="28"/>
          <w:szCs w:val="28"/>
          <w:lang w:val="en-US"/>
        </w:rPr>
      </w:pPr>
      <w:r w:rsidRPr="002C059A">
        <w:rPr>
          <w:sz w:val="20"/>
          <w:lang w:val="en-US"/>
        </w:rPr>
        <w:t>Eric Rockstädt,</w:t>
      </w:r>
      <w:r w:rsidR="00BA1EA5">
        <w:rPr>
          <w:sz w:val="20"/>
          <w:lang w:val="en-US"/>
        </w:rPr>
        <w:t xml:space="preserve"> </w:t>
      </w:r>
      <w:r w:rsidRPr="002C059A">
        <w:rPr>
          <w:sz w:val="20"/>
          <w:lang w:val="en-US"/>
        </w:rPr>
        <w:t>Paul Seifert, Nithish Kini Ullal</w:t>
      </w:r>
      <w:r w:rsidR="00AD216F">
        <w:rPr>
          <w:sz w:val="20"/>
          <w:lang w:val="en-US"/>
        </w:rPr>
        <w:t xml:space="preserve"> and </w:t>
      </w:r>
      <w:r w:rsidRPr="002C059A">
        <w:rPr>
          <w:sz w:val="20"/>
          <w:lang w:val="en-US"/>
        </w:rPr>
        <w:t>Johanna Winkler</w:t>
      </w:r>
    </w:p>
    <w:p w14:paraId="30A47568" w14:textId="77777777" w:rsidR="00923F90" w:rsidRPr="0090758C" w:rsidRDefault="00923F90" w:rsidP="000D2F1D">
      <w:pPr>
        <w:pStyle w:val="berschrift2"/>
        <w:ind w:left="-810" w:firstLine="810"/>
        <w:rPr>
          <w:i w:val="0"/>
          <w:sz w:val="24"/>
          <w:szCs w:val="24"/>
          <w:lang w:val="en-US"/>
        </w:rPr>
      </w:pPr>
      <w:r w:rsidRPr="0090758C">
        <w:rPr>
          <w:i w:val="0"/>
          <w:sz w:val="24"/>
          <w:szCs w:val="24"/>
          <w:lang w:val="en-US"/>
        </w:rPr>
        <w:t>Keywords</w:t>
      </w:r>
    </w:p>
    <w:p w14:paraId="3038F39E" w14:textId="77777777" w:rsidR="003F11F9" w:rsidRPr="00DE2940" w:rsidRDefault="00DE2940" w:rsidP="003F11F9">
      <w:pPr>
        <w:rPr>
          <w:lang w:val="en-US"/>
        </w:rPr>
      </w:pPr>
      <w:r w:rsidRPr="00DE2940">
        <w:rPr>
          <w:lang w:val="en-US"/>
        </w:rPr>
        <w:t xml:space="preserve">Energy system modelling, </w:t>
      </w:r>
      <w:r w:rsidR="0090758C">
        <w:rPr>
          <w:lang w:val="en-US"/>
        </w:rPr>
        <w:t>s</w:t>
      </w:r>
      <w:r w:rsidRPr="00DE2940">
        <w:rPr>
          <w:lang w:val="en-US"/>
        </w:rPr>
        <w:t>ufficiency</w:t>
      </w:r>
      <w:r w:rsidR="00A50D9A">
        <w:rPr>
          <w:lang w:val="en-US"/>
        </w:rPr>
        <w:t xml:space="preserve">, </w:t>
      </w:r>
      <w:r w:rsidR="0090758C">
        <w:rPr>
          <w:lang w:val="en-US"/>
        </w:rPr>
        <w:t>d</w:t>
      </w:r>
      <w:r w:rsidR="00A50D9A">
        <w:rPr>
          <w:lang w:val="en-US"/>
        </w:rPr>
        <w:t>emand-side solutions</w:t>
      </w:r>
      <w:r w:rsidR="0090758C">
        <w:rPr>
          <w:lang w:val="en-US"/>
        </w:rPr>
        <w:t>, energy transformation</w:t>
      </w:r>
    </w:p>
    <w:p w14:paraId="13E6D043" w14:textId="77777777" w:rsidR="00E62244" w:rsidRPr="00476853" w:rsidRDefault="00101211" w:rsidP="00101211">
      <w:pPr>
        <w:pStyle w:val="berschrift2"/>
        <w:ind w:left="-810" w:firstLine="810"/>
        <w:rPr>
          <w:i w:val="0"/>
          <w:sz w:val="24"/>
          <w:szCs w:val="24"/>
        </w:rPr>
      </w:pPr>
      <w:r w:rsidRPr="00476853">
        <w:rPr>
          <w:i w:val="0"/>
          <w:sz w:val="24"/>
          <w:szCs w:val="24"/>
        </w:rPr>
        <w:t>Overview</w:t>
      </w:r>
    </w:p>
    <w:p w14:paraId="18D06858" w14:textId="77777777" w:rsidR="00DC0EE6" w:rsidRDefault="006C41C5" w:rsidP="00F13522">
      <w:pPr>
        <w:jc w:val="both"/>
        <w:rPr>
          <w:lang w:val="en-US"/>
        </w:rPr>
      </w:pPr>
      <w:r>
        <w:rPr>
          <w:lang w:val="en-US"/>
        </w:rPr>
        <w:t xml:space="preserve">This paper explores the potential impacts of sufficiency measures on both energy demand </w:t>
      </w:r>
      <w:r w:rsidRPr="006C41C5">
        <w:rPr>
          <w:lang w:val="en-US"/>
        </w:rPr>
        <w:t>and</w:t>
      </w:r>
      <w:r>
        <w:rPr>
          <w:lang w:val="en-US"/>
        </w:rPr>
        <w:t xml:space="preserve"> supply. </w:t>
      </w:r>
      <w:r w:rsidR="00DC0EE6">
        <w:rPr>
          <w:lang w:val="en-US"/>
        </w:rPr>
        <w:t>The current scientific and public debate on climate change mitigation is mostly focused on technological solutions, where</w:t>
      </w:r>
      <w:r w:rsidR="0098282A">
        <w:rPr>
          <w:lang w:val="en-US"/>
        </w:rPr>
        <w:t>a</w:t>
      </w:r>
      <w:r w:rsidR="00DC0EE6">
        <w:rPr>
          <w:lang w:val="en-US"/>
        </w:rPr>
        <w:t xml:space="preserve">s </w:t>
      </w:r>
      <w:r w:rsidR="0098282A">
        <w:rPr>
          <w:lang w:val="en-US"/>
        </w:rPr>
        <w:t xml:space="preserve">human </w:t>
      </w:r>
      <w:r w:rsidR="00DC0EE6">
        <w:rPr>
          <w:lang w:val="en-US"/>
        </w:rPr>
        <w:t xml:space="preserve">lifestyle </w:t>
      </w:r>
      <w:r w:rsidR="00DE2940">
        <w:rPr>
          <w:lang w:val="en-US"/>
        </w:rPr>
        <w:t>change</w:t>
      </w:r>
      <w:r w:rsidR="0098282A">
        <w:rPr>
          <w:lang w:val="en-US"/>
        </w:rPr>
        <w:t>s</w:t>
      </w:r>
      <w:r w:rsidR="00DE2940">
        <w:rPr>
          <w:lang w:val="en-US"/>
        </w:rPr>
        <w:t xml:space="preserve"> </w:t>
      </w:r>
      <w:r w:rsidR="00DC0EE6">
        <w:rPr>
          <w:lang w:val="en-US"/>
        </w:rPr>
        <w:t>receive far less attention.</w:t>
      </w:r>
      <w:r w:rsidR="00F60AB3">
        <w:rPr>
          <w:lang w:val="en-US"/>
        </w:rPr>
        <w:t xml:space="preserve"> </w:t>
      </w:r>
      <w:r w:rsidR="00F60AB3" w:rsidRPr="00070347">
        <w:rPr>
          <w:lang w:val="en-US"/>
        </w:rPr>
        <w:t>Recent studies indicat</w:t>
      </w:r>
      <w:r w:rsidR="00F60AB3">
        <w:rPr>
          <w:lang w:val="en-US"/>
        </w:rPr>
        <w:t>e</w:t>
      </w:r>
      <w:r w:rsidR="00F60AB3" w:rsidRPr="00070347">
        <w:rPr>
          <w:lang w:val="en-US"/>
        </w:rPr>
        <w:t xml:space="preserve"> that demand reductions through b</w:t>
      </w:r>
      <w:r w:rsidR="00F60AB3">
        <w:rPr>
          <w:lang w:val="en-US"/>
        </w:rPr>
        <w:t>ehavioral changes, also referred to as sufficiency measures, may not only help to meet climate targets, but even be indispensable to achieve them</w:t>
      </w:r>
      <w:r w:rsidR="00F13522">
        <w:rPr>
          <w:lang w:val="en-US"/>
        </w:rPr>
        <w:t xml:space="preserve"> </w:t>
      </w:r>
      <w:r w:rsidR="00F13522">
        <w:rPr>
          <w:lang w:val="en-US"/>
        </w:rPr>
        <w:fldChar w:fldCharType="begin"/>
      </w:r>
      <w:r w:rsidR="00F13522">
        <w:rPr>
          <w:lang w:val="en-US"/>
        </w:rPr>
        <w:instrText xml:space="preserve"> ADDIN ZOTERO_ITEM CSL_CITATION {"citationID":"UIa5rXTE","properties":{"formattedCitation":"(Grubler et al. 2018; Creutzig et al. 2018; Mundaca, \\uc0\\u220{}rge-Vorsatz, and Wilson 2019)","plainCitation":"(Grubler et al. 2018; Creutzig et al. 2018; Mundaca, Ürge-Vorsatz, and Wilson 2019)","noteIndex":0},"citationItems":[{"id":10418,"uris":["http://zotero.org/groups/75320/items/PX5LW7IX"],"uri":["http://zotero.org/groups/75320/items/PX5LW7IX"],"itemData":{"id":10418,"type":"article-journal","abstract":"Achieving sustainable development goals while meeting the 1.5 °C climate target requires radical changes to how we use energy. A scenario of low energy demand shows how this can be done by down-sizing the global energy system to enable feasible deployment rates of renewable energy resources.","container-title":"Nature Energy","DOI":"10.1038/s41560-018-0172-6","ISSN":"2058-7546","issue":"6","language":"En","page":"515","source":"www.nature.com","title":"A low energy demand scenario for meeting the 1.5 °C target and sustainable development goals without negative emission technologies","volume":"3","author":[{"family":"Grubler","given":"Arnulf"},{"family":"Wilson","given":"Charlie"},{"family":"Bento","given":"Nuno"},{"family":"Boza-Kiss","given":"Benigna"},{"family":"Krey","given":"Volker"},{"family":"McCollum","given":"David L."},{"family":"Rao","given":"Narasimha D."},{"family":"Riahi","given":"Keywan"},{"family":"Rogelj","given":"Joeri"},{"family":"Stercke","given":"Simon De"},{"family":"Cullen","given":"Jonathan"},{"family":"Frank","given":"Stefan"},{"family":"Fricko","given":"Oliver"},{"family":"Guo","given":"Fei"},{"family":"Gidden","given":"Matt"},{"family":"Havlík","given":"Petr"},{"family":"Huppmann","given":"Daniel"},{"family":"Kiesewetter","given":"Gregor"},{"family":"Rafaj","given":"Peter"},{"family":"Schoepp","given":"Wolfgang"},{"family":"Valin","given":"Hugo"}],"issued":{"date-parts":[["2018",6]]}}},{"id":10937,"uris":["http://zotero.org/groups/75320/items/66BZ5DLQ"],"uri":["http://zotero.org/groups/75320/items/66BZ5DLQ"],"itemData":{"id":10937,"type":"article-journal","abstract":"Research on climate change mitigation tends to focus on supply-side technology solutions. A better understanding of demand-side solutions is missing. We propose a transdisciplinary approach to identify demand-side climate solutions, investigate their mitigation potential, detail policy measures and assess their implications for well-being.","container-title":"Nature Climate Change","DOI":"10.1038/s41558-018-0121-1","ISSN":"1758-6798","issue":"4","language":"En","page":"260","source":"www.nature.com","title":"Towards demand-side solutions for mitigating climate change","volume":"8","author":[{"family":"Creutzig","given":"Felix"},{"family":"Roy","given":"Joyashree"},{"family":"Lamb","given":"William F."},{"family":"Azevedo","given":"Inês M. L."},{"family":"Bruin","given":"Wändi Bruine","dropping-particle":"de"},{"family":"Dalkmann","given":"Holger"},{"family":"Edelenbosch","given":"Oreane Y."},{"family":"Geels","given":"Frank W."},{"family":"Grubler","given":"Arnulf"},{"family":"Hepburn","given":"Cameron"},{"family":"Hertwich","given":"Edgar G."},{"family":"Khosla","given":"Radhika"},{"family":"Mattauch","given":"Linus"},{"family":"Minx","given":"Jan C."},{"family":"Ramakrishnan","given":"Anjali"},{"family":"Rao","given":"Narasimha D."},{"family":"Steinberger","given":"Julia K."},{"family":"Tavoni","given":"Massimo"},{"family":"Ürge-Vorsatz","given":"Diana"},{"family":"Weber","given":"Elke U."}],"issued":{"date-parts":[["2018",4]]}}},{"id":12297,"uris":["http://zotero.org/groups/75320/items/LI69D7H5"],"uri":["http://zotero.org/groups/75320/items/LI69D7H5"],"itemData":{"id":12297,"type":"article-journal","abstract":"The Paris Climate Agreement defined an ambition of limiting global warming to 1.5 °C above preindustrial levels. This has triggered research on stringent emission reduction targets and corresponding mitigation pathways across energy economy and societal systems. Driven by methodological considerations, supply side and carbon dioxide removal options feature prominently in the emerging pathway literature, while much less attention has been given to the role of demand-side approaches. This special issue addresses this gap, and aims to broaden and strengthen the knowledge base in this key research and policy area. This editorial paper synthesizes the special issue’s contributions horizontally through three shared themes we identify: policy interventions, demand-side measures, and methodological approaches. The review of articles is supplemented by insights from other relevant literature. Overall, our paper underlines that stringent demand-side policy portfolios are required to drive the pace and direction of deep decarbonization pathways and keep the 1.5 °C target within reach. It confirms that insufficient attention has been paid to demand-side measures, which are found to be inextricably linked to supply-side decarbonization and able to complement supply-side measures. The paper also shows that there is an abundance of demand-side measures to limit warming to 1.5 °C, but it warns that not all of these options are “seen” or captured by current quantitative tools or progress indicators, and some remain insufficiently represented in the current policy discourse. Based on the set of papers presented in the special issue, we conclude that demand-side mitigation in line with the 1.5 °C goal is possible; however, it remains enormously challenging and dependent on both innovative technologies and policies, and behavioral change. Limiting warming to 1.5 °C requires, more than ever, a plurality of methods and integrated behavioral and technology approaches to better support policymaking and resulting policy interventions.","container-title":"Energy Efficiency","DOI":"10.1007/s12053-018-9722-9","ISSN":"1570-6478","issue":"2","journalAbbreviation":"Energy Efficiency","language":"en","page":"343-362","source":"Springer Link","title":"Demand-side approaches for limiting global warming to 1.5 °C","volume":"12","author":[{"family":"Mundaca","given":"Luis"},{"family":"Ürge-Vorsatz","given":"Diana"},{"family":"Wilson","given":"Charlie"}],"issued":{"date-parts":[["2019",2,1]]}}}],"schema":"https://github.com/citation-style-language/schema/raw/master/csl-citation.json"} </w:instrText>
      </w:r>
      <w:r w:rsidR="00F13522">
        <w:rPr>
          <w:lang w:val="en-US"/>
        </w:rPr>
        <w:fldChar w:fldCharType="separate"/>
      </w:r>
      <w:r w:rsidR="00F13522" w:rsidRPr="00F13522">
        <w:rPr>
          <w:szCs w:val="24"/>
        </w:rPr>
        <w:t>(</w:t>
      </w:r>
      <w:proofErr w:type="spellStart"/>
      <w:r w:rsidR="00F13522" w:rsidRPr="00F13522">
        <w:rPr>
          <w:szCs w:val="24"/>
        </w:rPr>
        <w:t>Grubler</w:t>
      </w:r>
      <w:proofErr w:type="spellEnd"/>
      <w:r w:rsidR="00F13522" w:rsidRPr="00F13522">
        <w:rPr>
          <w:szCs w:val="24"/>
        </w:rPr>
        <w:t xml:space="preserve"> et al. 2018; </w:t>
      </w:r>
      <w:proofErr w:type="spellStart"/>
      <w:r w:rsidR="00F13522" w:rsidRPr="00F13522">
        <w:rPr>
          <w:szCs w:val="24"/>
        </w:rPr>
        <w:t>Creutzig</w:t>
      </w:r>
      <w:proofErr w:type="spellEnd"/>
      <w:r w:rsidR="00F13522" w:rsidRPr="00F13522">
        <w:rPr>
          <w:szCs w:val="24"/>
        </w:rPr>
        <w:t xml:space="preserve"> et al. 2018; </w:t>
      </w:r>
      <w:proofErr w:type="spellStart"/>
      <w:r w:rsidR="00F13522" w:rsidRPr="00F13522">
        <w:rPr>
          <w:szCs w:val="24"/>
        </w:rPr>
        <w:t>Mundaca</w:t>
      </w:r>
      <w:proofErr w:type="spellEnd"/>
      <w:r w:rsidR="00F13522" w:rsidRPr="00F13522">
        <w:rPr>
          <w:szCs w:val="24"/>
        </w:rPr>
        <w:t xml:space="preserve">, </w:t>
      </w:r>
      <w:proofErr w:type="spellStart"/>
      <w:r w:rsidR="00F13522" w:rsidRPr="00F13522">
        <w:rPr>
          <w:szCs w:val="24"/>
        </w:rPr>
        <w:t>Ürge-Vorsatz</w:t>
      </w:r>
      <w:proofErr w:type="spellEnd"/>
      <w:r w:rsidR="00F13522" w:rsidRPr="00F13522">
        <w:rPr>
          <w:szCs w:val="24"/>
        </w:rPr>
        <w:t>, and Wilson 2019)</w:t>
      </w:r>
      <w:r w:rsidR="00F13522">
        <w:rPr>
          <w:lang w:val="en-US"/>
        </w:rPr>
        <w:fldChar w:fldCharType="end"/>
      </w:r>
      <w:r w:rsidR="00F13522">
        <w:rPr>
          <w:lang w:val="en-US"/>
        </w:rPr>
        <w:t>.</w:t>
      </w:r>
      <w:r w:rsidR="00F60AB3">
        <w:rPr>
          <w:lang w:val="en-US"/>
        </w:rPr>
        <w:t xml:space="preserve"> A</w:t>
      </w:r>
      <w:r w:rsidR="00DC0EE6">
        <w:rPr>
          <w:lang w:val="en-US"/>
        </w:rPr>
        <w:t>gainst this background, this paper analyzes</w:t>
      </w:r>
      <w:r w:rsidR="0035615B">
        <w:rPr>
          <w:lang w:val="en-US"/>
        </w:rPr>
        <w:t xml:space="preserve"> and models</w:t>
      </w:r>
      <w:r w:rsidR="00DC0EE6">
        <w:rPr>
          <w:lang w:val="en-US"/>
        </w:rPr>
        <w:t xml:space="preserve"> the </w:t>
      </w:r>
      <w:r w:rsidR="00070347">
        <w:rPr>
          <w:lang w:val="en-US"/>
        </w:rPr>
        <w:t xml:space="preserve">impact </w:t>
      </w:r>
      <w:r w:rsidR="00DC0EE6">
        <w:rPr>
          <w:lang w:val="en-US"/>
        </w:rPr>
        <w:t>of sufficiency-based demand reductions on a 100% renewable energy supply for Germany.</w:t>
      </w:r>
    </w:p>
    <w:p w14:paraId="0E3FAED2" w14:textId="77777777" w:rsidR="00E62244" w:rsidRPr="00D767DA" w:rsidRDefault="00476853">
      <w:pPr>
        <w:pStyle w:val="berschrift2"/>
        <w:rPr>
          <w:i w:val="0"/>
          <w:sz w:val="24"/>
          <w:szCs w:val="24"/>
        </w:rPr>
      </w:pPr>
      <w:r w:rsidRPr="00D767DA">
        <w:rPr>
          <w:i w:val="0"/>
          <w:sz w:val="24"/>
          <w:szCs w:val="24"/>
        </w:rPr>
        <w:t>Methods</w:t>
      </w:r>
    </w:p>
    <w:p w14:paraId="3C226044" w14:textId="77777777" w:rsidR="00CD69C3" w:rsidRPr="00F60AB3" w:rsidRDefault="00C13CFE" w:rsidP="00F60AB3">
      <w:pPr>
        <w:jc w:val="both"/>
      </w:pPr>
      <w:r>
        <w:rPr>
          <w:lang w:val="en-US"/>
        </w:rPr>
        <w:t xml:space="preserve">Possible sufficiency measures are identified through research in scientific literature, quantified, and </w:t>
      </w:r>
      <w:r w:rsidR="006824C6">
        <w:rPr>
          <w:lang w:val="en-US"/>
        </w:rPr>
        <w:t xml:space="preserve">translated into </w:t>
      </w:r>
      <w:r w:rsidR="00F60AB3">
        <w:rPr>
          <w:lang w:val="en-US"/>
        </w:rPr>
        <w:t>reductions of energy demand f</w:t>
      </w:r>
      <w:r w:rsidR="00DC0EE6" w:rsidRPr="00DC0EE6">
        <w:rPr>
          <w:lang w:val="en-US"/>
        </w:rPr>
        <w:t>or the sectors heat, mobility and conventional electricity</w:t>
      </w:r>
      <w:r w:rsidR="006824C6">
        <w:rPr>
          <w:lang w:val="en-US"/>
        </w:rPr>
        <w:t>. The</w:t>
      </w:r>
      <w:r>
        <w:rPr>
          <w:lang w:val="en-US"/>
        </w:rPr>
        <w:t xml:space="preserve"> </w:t>
      </w:r>
      <w:r w:rsidR="00F60AB3">
        <w:rPr>
          <w:lang w:val="en-US"/>
        </w:rPr>
        <w:t>reductions</w:t>
      </w:r>
      <w:r>
        <w:rPr>
          <w:lang w:val="en-US"/>
        </w:rPr>
        <w:t xml:space="preserve"> </w:t>
      </w:r>
      <w:r w:rsidR="006824C6">
        <w:rPr>
          <w:lang w:val="en-US"/>
        </w:rPr>
        <w:t>are used to modify the exogeneous demand assumptions of a</w:t>
      </w:r>
      <w:r>
        <w:rPr>
          <w:lang w:val="en-US"/>
        </w:rPr>
        <w:t xml:space="preserve"> greenfield energy system </w:t>
      </w:r>
      <w:r w:rsidR="006824C6">
        <w:rPr>
          <w:lang w:val="en-US"/>
        </w:rPr>
        <w:t>model</w:t>
      </w:r>
      <w:r>
        <w:rPr>
          <w:lang w:val="en-US"/>
        </w:rPr>
        <w:t xml:space="preserve"> for Germany</w:t>
      </w:r>
      <w:r w:rsidR="006824C6">
        <w:rPr>
          <w:lang w:val="en-US"/>
        </w:rPr>
        <w:t xml:space="preserve"> to quantify their effects on </w:t>
      </w:r>
      <w:r w:rsidR="00070347">
        <w:rPr>
          <w:lang w:val="en-US"/>
        </w:rPr>
        <w:t>system costs and design</w:t>
      </w:r>
      <w:r w:rsidR="006824C6">
        <w:rPr>
          <w:lang w:val="en-US"/>
        </w:rPr>
        <w:t>.</w:t>
      </w:r>
      <w:r w:rsidR="00F60AB3">
        <w:rPr>
          <w:lang w:val="en-US"/>
        </w:rPr>
        <w:t xml:space="preserve"> </w:t>
      </w:r>
      <w:r>
        <w:rPr>
          <w:lang w:val="en-US"/>
        </w:rPr>
        <w:t xml:space="preserve">The model is a linear, cost-optimizing capacity expansion model implemented in the </w:t>
      </w:r>
      <w:proofErr w:type="spellStart"/>
      <w:r>
        <w:rPr>
          <w:lang w:val="en-US"/>
        </w:rPr>
        <w:t>AnyMOD</w:t>
      </w:r>
      <w:proofErr w:type="spellEnd"/>
      <w:r>
        <w:rPr>
          <w:lang w:val="en-US"/>
        </w:rPr>
        <w:t xml:space="preserve">-Framework. </w:t>
      </w:r>
      <w:r w:rsidR="00F60AB3">
        <w:t>Including the energy carriers electricity, hydrogen and synthetic gas, the model covers explicitly the power and gas sector; but heat and transport</w:t>
      </w:r>
      <w:r w:rsidR="00F60AB3" w:rsidRPr="006824C6">
        <w:rPr>
          <w:lang w:val="en-US"/>
        </w:rPr>
        <w:t xml:space="preserve"> </w:t>
      </w:r>
      <w:r w:rsidR="006824C6" w:rsidRPr="006824C6">
        <w:rPr>
          <w:lang w:val="en-US"/>
        </w:rPr>
        <w:t>are implicitly included by adding the demand for synthetic fuels and electricity that decarbonization of these sectors requires</w:t>
      </w:r>
      <w:r w:rsidR="00F60AB3">
        <w:rPr>
          <w:lang w:val="en-US"/>
        </w:rPr>
        <w:t>, both for private and industrial demand</w:t>
      </w:r>
      <w:r w:rsidR="006824C6" w:rsidRPr="006824C6">
        <w:rPr>
          <w:lang w:val="en-US"/>
        </w:rPr>
        <w:t xml:space="preserve"> On the supply side the model includes renewable </w:t>
      </w:r>
      <w:proofErr w:type="spellStart"/>
      <w:r w:rsidR="001D4F87">
        <w:rPr>
          <w:lang w:val="en-US"/>
        </w:rPr>
        <w:t>generatory</w:t>
      </w:r>
      <w:proofErr w:type="spellEnd"/>
      <w:r w:rsidR="006824C6" w:rsidRPr="006824C6">
        <w:rPr>
          <w:lang w:val="en-US"/>
        </w:rPr>
        <w:t>, namely</w:t>
      </w:r>
      <w:r w:rsidR="006824C6">
        <w:rPr>
          <w:lang w:val="en-US"/>
        </w:rPr>
        <w:t xml:space="preserve"> </w:t>
      </w:r>
      <w:r w:rsidR="001D4F87">
        <w:rPr>
          <w:rStyle w:val="Kommentarzeichen"/>
        </w:rPr>
        <w:t/>
      </w:r>
      <w:r w:rsidR="001D4F87">
        <w:t>photovoltaic</w:t>
      </w:r>
      <w:r w:rsidR="001D4F87">
        <w:rPr>
          <w:lang w:val="en-US"/>
        </w:rPr>
        <w:t>, wind onshore and wind offshore</w:t>
      </w:r>
      <w:r w:rsidR="0035615B">
        <w:rPr>
          <w:lang w:val="en-US"/>
        </w:rPr>
        <w:t xml:space="preserve"> (see Figure 1)</w:t>
      </w:r>
      <w:r w:rsidR="001D4F87">
        <w:rPr>
          <w:lang w:val="en-US"/>
        </w:rPr>
        <w:t>.</w:t>
      </w:r>
      <w:r>
        <w:rPr>
          <w:lang w:val="en-US"/>
        </w:rPr>
        <w:t xml:space="preserve"> </w:t>
      </w:r>
      <w:r w:rsidR="006824C6">
        <w:rPr>
          <w:lang w:val="en-US"/>
        </w:rPr>
        <w:t>In a scenario-based approach, demand reductions are analyzed for each sector</w:t>
      </w:r>
      <w:r>
        <w:rPr>
          <w:lang w:val="en-US"/>
        </w:rPr>
        <w:t xml:space="preserve"> individually</w:t>
      </w:r>
      <w:r w:rsidR="006824C6">
        <w:rPr>
          <w:lang w:val="en-US"/>
        </w:rPr>
        <w:t xml:space="preserve"> and for all sectors combined</w:t>
      </w:r>
      <w:r>
        <w:rPr>
          <w:lang w:val="en-US"/>
        </w:rPr>
        <w:t>, distinguished in low and high ambition scenarios</w:t>
      </w:r>
      <w:r w:rsidR="006824C6">
        <w:rPr>
          <w:lang w:val="en-US"/>
        </w:rPr>
        <w:t xml:space="preserve">. A sensitivity analysis on peak load shedding </w:t>
      </w:r>
      <w:r>
        <w:rPr>
          <w:lang w:val="en-US"/>
        </w:rPr>
        <w:t>assesses</w:t>
      </w:r>
      <w:r w:rsidR="006824C6">
        <w:rPr>
          <w:lang w:val="en-US"/>
        </w:rPr>
        <w:t xml:space="preserve"> the temporal importance of demand reductions.</w:t>
      </w:r>
    </w:p>
    <w:p w14:paraId="0DD3F077" w14:textId="77777777" w:rsidR="00E379BE" w:rsidRDefault="00BA275F" w:rsidP="00DE2940">
      <w:pPr>
        <w:jc w:val="center"/>
        <w:rPr>
          <w:lang w:val="en-US"/>
        </w:rPr>
      </w:pPr>
      <w:r>
        <w:rPr>
          <w:lang w:val="en-US"/>
        </w:rPr>
        <w:pict w14:anchorId="5164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29.5pt">
            <v:imagedata r:id="rId7" o:title=""/>
          </v:shape>
        </w:pict>
      </w:r>
    </w:p>
    <w:p w14:paraId="16BCBDF4" w14:textId="77777777" w:rsidR="00C13CFE" w:rsidRPr="00FA77E9" w:rsidRDefault="00CD69C3" w:rsidP="00DE2940">
      <w:pPr>
        <w:jc w:val="center"/>
        <w:rPr>
          <w:sz w:val="16"/>
          <w:szCs w:val="16"/>
          <w:lang w:val="en-US"/>
        </w:rPr>
      </w:pPr>
      <w:r w:rsidRPr="00FA77E9">
        <w:rPr>
          <w:sz w:val="16"/>
          <w:szCs w:val="16"/>
          <w:lang w:val="en-US"/>
        </w:rPr>
        <w:t xml:space="preserve">Figure 1: Energy flow diagram of the model implemented in the </w:t>
      </w:r>
      <w:proofErr w:type="spellStart"/>
      <w:r w:rsidRPr="00FA77E9">
        <w:rPr>
          <w:sz w:val="16"/>
          <w:szCs w:val="16"/>
          <w:lang w:val="en-US"/>
        </w:rPr>
        <w:t>AnyMOD</w:t>
      </w:r>
      <w:proofErr w:type="spellEnd"/>
      <w:r w:rsidRPr="00FA77E9">
        <w:rPr>
          <w:sz w:val="16"/>
          <w:szCs w:val="16"/>
          <w:lang w:val="en-US"/>
        </w:rPr>
        <w:t>-Framework. Source: Own illustration.</w:t>
      </w:r>
    </w:p>
    <w:p w14:paraId="61D0005F" w14:textId="77777777" w:rsidR="00476853" w:rsidRPr="00D767DA" w:rsidRDefault="0000412E" w:rsidP="00476853">
      <w:pPr>
        <w:pStyle w:val="berschrift2"/>
        <w:rPr>
          <w:i w:val="0"/>
          <w:sz w:val="24"/>
          <w:szCs w:val="24"/>
        </w:rPr>
      </w:pPr>
      <w:r w:rsidRPr="0000412E">
        <w:rPr>
          <w:i w:val="0"/>
          <w:sz w:val="24"/>
          <w:szCs w:val="24"/>
        </w:rPr>
        <w:lastRenderedPageBreak/>
        <w:t xml:space="preserve">(Preliminary) </w:t>
      </w:r>
      <w:r w:rsidR="000C25E0" w:rsidRPr="00D767DA">
        <w:rPr>
          <w:i w:val="0"/>
          <w:sz w:val="24"/>
          <w:szCs w:val="24"/>
        </w:rPr>
        <w:t>Results</w:t>
      </w:r>
    </w:p>
    <w:p w14:paraId="03AB2856" w14:textId="77777777" w:rsidR="00CD69C3" w:rsidRDefault="00F60AB3" w:rsidP="00F60AB3">
      <w:pPr>
        <w:jc w:val="both"/>
        <w:rPr>
          <w:lang w:val="en-US"/>
        </w:rPr>
      </w:pPr>
      <w:r>
        <w:rPr>
          <w:lang w:val="en-US"/>
        </w:rPr>
        <w:t xml:space="preserve">Based on the assessment of existing literature, the potential reduction of demand from sufficiency measures ranges from 9.4% to 20.5%, which translates to 138 to 300 </w:t>
      </w:r>
      <w:proofErr w:type="spellStart"/>
      <w:r>
        <w:rPr>
          <w:lang w:val="en-US"/>
        </w:rPr>
        <w:t>TWh</w:t>
      </w:r>
      <w:proofErr w:type="spellEnd"/>
      <w:r>
        <w:rPr>
          <w:lang w:val="en-US"/>
        </w:rPr>
        <w:t xml:space="preserve"> of energy demand. </w:t>
      </w:r>
      <w:r w:rsidR="001D4F87">
        <w:rPr>
          <w:lang w:val="en-US"/>
        </w:rPr>
        <w:t>A sector-by-sector analysis reveals</w:t>
      </w:r>
      <w:r w:rsidR="00CD69C3" w:rsidRPr="00CD69C3">
        <w:rPr>
          <w:lang w:val="en-US"/>
        </w:rPr>
        <w:t xml:space="preserve"> </w:t>
      </w:r>
      <w:r w:rsidR="001D4F87">
        <w:rPr>
          <w:lang w:val="en-US"/>
        </w:rPr>
        <w:t xml:space="preserve">a similar potential for </w:t>
      </w:r>
      <w:proofErr w:type="spellStart"/>
      <w:r w:rsidR="001D4F87">
        <w:rPr>
          <w:lang w:val="en-US"/>
        </w:rPr>
        <w:t>suffiency</w:t>
      </w:r>
      <w:proofErr w:type="spellEnd"/>
      <w:r w:rsidR="001D4F87">
        <w:rPr>
          <w:lang w:val="en-US"/>
        </w:rPr>
        <w:t xml:space="preserve"> measures in the </w:t>
      </w:r>
      <w:proofErr w:type="spellStart"/>
      <w:r w:rsidR="001D4F87">
        <w:rPr>
          <w:lang w:val="en-US"/>
        </w:rPr>
        <w:t>mobilty</w:t>
      </w:r>
      <w:proofErr w:type="spellEnd"/>
      <w:r w:rsidR="001D4F87">
        <w:rPr>
          <w:lang w:val="en-US"/>
        </w:rPr>
        <w:t xml:space="preserve"> and heat sector</w:t>
      </w:r>
      <w:r w:rsidR="00383F9E">
        <w:rPr>
          <w:lang w:val="en-US"/>
        </w:rPr>
        <w:t xml:space="preserve">, followed by </w:t>
      </w:r>
      <w:r w:rsidR="00CD69C3" w:rsidRPr="00CD69C3">
        <w:rPr>
          <w:lang w:val="en-US"/>
        </w:rPr>
        <w:t xml:space="preserve">the conventional electricity sector </w:t>
      </w:r>
      <w:r w:rsidR="00383F9E">
        <w:rPr>
          <w:lang w:val="en-US"/>
        </w:rPr>
        <w:t xml:space="preserve">with approximately half </w:t>
      </w:r>
      <w:r w:rsidR="001D4F87">
        <w:rPr>
          <w:lang w:val="en-US"/>
        </w:rPr>
        <w:t xml:space="preserve">that </w:t>
      </w:r>
      <w:r w:rsidR="00383F9E">
        <w:rPr>
          <w:lang w:val="en-US"/>
        </w:rPr>
        <w:t>potential</w:t>
      </w:r>
      <w:r w:rsidR="00CD69C3" w:rsidRPr="00CD69C3">
        <w:rPr>
          <w:lang w:val="en-US"/>
        </w:rPr>
        <w:t>.</w:t>
      </w:r>
      <w:r w:rsidR="00CD69C3">
        <w:rPr>
          <w:lang w:val="en-US"/>
        </w:rPr>
        <w:t xml:space="preserve"> </w:t>
      </w:r>
      <w:r w:rsidR="00383F9E">
        <w:rPr>
          <w:lang w:val="en-US"/>
        </w:rPr>
        <w:t>Sufficiency measures result</w:t>
      </w:r>
      <w:r w:rsidR="00CD69C3" w:rsidRPr="00CD69C3">
        <w:rPr>
          <w:lang w:val="en-US"/>
        </w:rPr>
        <w:t xml:space="preserve"> in cost reductions of 11.3% to 25.6% in comparison to no lifestyle changes (reference scenario). Generation and storage capacity can hence be reduced by 30.6% and 44.5%</w:t>
      </w:r>
      <w:r w:rsidR="00383F9E">
        <w:rPr>
          <w:lang w:val="en-US"/>
        </w:rPr>
        <w:t>, respectively</w:t>
      </w:r>
      <w:r w:rsidR="00CD69C3" w:rsidRPr="00CD69C3">
        <w:rPr>
          <w:lang w:val="en-US"/>
        </w:rPr>
        <w:t>.</w:t>
      </w:r>
      <w:r w:rsidR="00CD69C3">
        <w:rPr>
          <w:lang w:val="en-US"/>
        </w:rPr>
        <w:t xml:space="preserve"> </w:t>
      </w:r>
      <w:r w:rsidR="00CD69C3" w:rsidRPr="00CD69C3">
        <w:rPr>
          <w:lang w:val="en-US"/>
        </w:rPr>
        <w:t xml:space="preserve">Due to high peak loads, </w:t>
      </w:r>
      <w:r w:rsidR="006C41C5">
        <w:rPr>
          <w:lang w:val="en-US"/>
        </w:rPr>
        <w:t xml:space="preserve">demand </w:t>
      </w:r>
      <w:r w:rsidR="001D4F87">
        <w:rPr>
          <w:lang w:val="en-US"/>
        </w:rPr>
        <w:t>reductions in the</w:t>
      </w:r>
      <w:r w:rsidR="001D4F87" w:rsidRPr="00CD69C3">
        <w:rPr>
          <w:lang w:val="en-US"/>
        </w:rPr>
        <w:t xml:space="preserve"> </w:t>
      </w:r>
      <w:r w:rsidR="00CD69C3" w:rsidRPr="00CD69C3">
        <w:rPr>
          <w:lang w:val="en-US"/>
        </w:rPr>
        <w:t xml:space="preserve">heat sector </w:t>
      </w:r>
      <w:r w:rsidR="001D4F87">
        <w:rPr>
          <w:lang w:val="en-US"/>
        </w:rPr>
        <w:t>can achieve the biggest reduction in system costs</w:t>
      </w:r>
      <w:r w:rsidR="006C41C5">
        <w:rPr>
          <w:lang w:val="en-US"/>
        </w:rPr>
        <w:t xml:space="preserve"> (see Figure 2)</w:t>
      </w:r>
      <w:r w:rsidR="00370DCD">
        <w:rPr>
          <w:lang w:val="en-US"/>
        </w:rPr>
        <w:t xml:space="preserve">. </w:t>
      </w:r>
      <w:r>
        <w:t>A sensitivity on demand side management, that assumes electricity demand for heating is balanced in four hour steps instead of hourly, reveals</w:t>
      </w:r>
      <w:r w:rsidR="00CD69C3" w:rsidRPr="00CD69C3">
        <w:rPr>
          <w:lang w:val="en-US"/>
        </w:rPr>
        <w:t xml:space="preserve"> 8% cost reductions and more than 50% short-term storage reductions without any demand reductions.</w:t>
      </w:r>
      <w:r w:rsidR="00CD69C3">
        <w:rPr>
          <w:lang w:val="en-US"/>
        </w:rPr>
        <w:t xml:space="preserve"> </w:t>
      </w:r>
      <w:r w:rsidR="009C6A8E">
        <w:rPr>
          <w:lang w:val="en-US"/>
        </w:rPr>
        <w:t>F</w:t>
      </w:r>
      <w:r w:rsidR="00CD69C3" w:rsidRPr="00DE2940">
        <w:rPr>
          <w:lang w:val="en-US"/>
        </w:rPr>
        <w:t xml:space="preserve">urther sensitivity analysis </w:t>
      </w:r>
      <w:r w:rsidR="001D4F87">
        <w:rPr>
          <w:lang w:val="en-US"/>
        </w:rPr>
        <w:t>finds</w:t>
      </w:r>
      <w:r w:rsidR="001D4F87" w:rsidRPr="00DE2940">
        <w:rPr>
          <w:lang w:val="en-US"/>
        </w:rPr>
        <w:t xml:space="preserve"> </w:t>
      </w:r>
      <w:r w:rsidR="00CD69C3" w:rsidRPr="00DE2940">
        <w:rPr>
          <w:lang w:val="en-US"/>
        </w:rPr>
        <w:t xml:space="preserve">that cutting demand peaks </w:t>
      </w:r>
      <w:r w:rsidR="009C6A8E">
        <w:rPr>
          <w:lang w:val="en-US"/>
        </w:rPr>
        <w:t xml:space="preserve">only decrease overall demand by </w:t>
      </w:r>
      <w:r w:rsidR="00CD69C3" w:rsidRPr="00DE2940">
        <w:rPr>
          <w:lang w:val="en-US"/>
        </w:rPr>
        <w:t xml:space="preserve">less than 1% </w:t>
      </w:r>
      <w:r w:rsidR="009C6A8E">
        <w:rPr>
          <w:lang w:val="en-US"/>
        </w:rPr>
        <w:t>but</w:t>
      </w:r>
      <w:r w:rsidR="00CD69C3" w:rsidRPr="00DE2940">
        <w:rPr>
          <w:lang w:val="en-US"/>
        </w:rPr>
        <w:t xml:space="preserve"> decreases </w:t>
      </w:r>
      <w:r w:rsidR="009C6A8E">
        <w:rPr>
          <w:lang w:val="en-US"/>
        </w:rPr>
        <w:t xml:space="preserve">installed </w:t>
      </w:r>
      <w:r w:rsidR="00CD69C3" w:rsidRPr="00DE2940">
        <w:rPr>
          <w:lang w:val="en-US"/>
        </w:rPr>
        <w:t>generation capacit</w:t>
      </w:r>
      <w:r w:rsidR="009C6A8E">
        <w:rPr>
          <w:lang w:val="en-US"/>
        </w:rPr>
        <w:t>ies</w:t>
      </w:r>
      <w:r w:rsidR="00CD69C3" w:rsidRPr="00DE2940">
        <w:rPr>
          <w:lang w:val="en-US"/>
        </w:rPr>
        <w:t xml:space="preserve"> b</w:t>
      </w:r>
      <w:r w:rsidR="009C6A8E">
        <w:rPr>
          <w:lang w:val="en-US"/>
        </w:rPr>
        <w:t>y</w:t>
      </w:r>
      <w:r w:rsidR="00CD69C3" w:rsidRPr="00DE2940">
        <w:rPr>
          <w:lang w:val="en-US"/>
        </w:rPr>
        <w:t xml:space="preserve"> 2% and storage capacit</w:t>
      </w:r>
      <w:r w:rsidR="009C6A8E">
        <w:rPr>
          <w:lang w:val="en-US"/>
        </w:rPr>
        <w:t>ies</w:t>
      </w:r>
      <w:r w:rsidR="00CD69C3" w:rsidRPr="00DE2940">
        <w:rPr>
          <w:lang w:val="en-US"/>
        </w:rPr>
        <w:t xml:space="preserve"> by 5%.</w:t>
      </w:r>
    </w:p>
    <w:p w14:paraId="58372D54" w14:textId="77777777" w:rsidR="00CD69C3" w:rsidRDefault="00CD69C3" w:rsidP="00CD69C3">
      <w:pPr>
        <w:jc w:val="center"/>
        <w:rPr>
          <w:lang w:val="en-US"/>
        </w:rPr>
      </w:pPr>
      <w:r>
        <w:rPr>
          <w:lang w:val="en-US"/>
        </w:rPr>
        <w:pict w14:anchorId="07198058">
          <v:shape id="_x0000_i1026" type="#_x0000_t75" style="width:300pt;height:199.5pt">
            <v:imagedata r:id="rId8" o:title=""/>
          </v:shape>
        </w:pict>
      </w:r>
    </w:p>
    <w:p w14:paraId="57D2D14C" w14:textId="77777777" w:rsidR="00CD69C3" w:rsidRPr="00FA77E9" w:rsidRDefault="00CD69C3" w:rsidP="00CD69C3">
      <w:pPr>
        <w:jc w:val="center"/>
        <w:rPr>
          <w:sz w:val="16"/>
          <w:szCs w:val="16"/>
          <w:lang w:val="en-US"/>
        </w:rPr>
      </w:pPr>
      <w:r w:rsidRPr="00FA77E9">
        <w:rPr>
          <w:sz w:val="16"/>
          <w:szCs w:val="16"/>
          <w:lang w:val="en-US"/>
        </w:rPr>
        <w:t xml:space="preserve">Figure 2: </w:t>
      </w:r>
      <w:r w:rsidR="00FA77E9" w:rsidRPr="00FA77E9">
        <w:rPr>
          <w:sz w:val="16"/>
          <w:szCs w:val="16"/>
          <w:lang w:val="en-US"/>
        </w:rPr>
        <w:t>Comparison of the s</w:t>
      </w:r>
      <w:r w:rsidRPr="00FA77E9">
        <w:rPr>
          <w:sz w:val="16"/>
          <w:szCs w:val="16"/>
          <w:lang w:val="en-US"/>
        </w:rPr>
        <w:t xml:space="preserve">ectoral impact of </w:t>
      </w:r>
      <w:r w:rsidR="00FA77E9" w:rsidRPr="00FA77E9">
        <w:rPr>
          <w:sz w:val="16"/>
          <w:szCs w:val="16"/>
          <w:lang w:val="en-US"/>
        </w:rPr>
        <w:t>high</w:t>
      </w:r>
      <w:r w:rsidR="00383F9E">
        <w:rPr>
          <w:sz w:val="16"/>
          <w:szCs w:val="16"/>
          <w:lang w:val="en-US"/>
        </w:rPr>
        <w:t>-</w:t>
      </w:r>
      <w:r w:rsidR="00FA77E9" w:rsidRPr="00FA77E9">
        <w:rPr>
          <w:sz w:val="16"/>
          <w:szCs w:val="16"/>
          <w:lang w:val="en-US"/>
        </w:rPr>
        <w:t>ambition scenarios on the energy system. Source: Own illustration</w:t>
      </w:r>
    </w:p>
    <w:p w14:paraId="4DB42C05" w14:textId="77777777" w:rsidR="00E62244" w:rsidRPr="00D767DA" w:rsidRDefault="00E62244">
      <w:pPr>
        <w:pStyle w:val="berschrift2"/>
        <w:jc w:val="both"/>
        <w:rPr>
          <w:i w:val="0"/>
          <w:sz w:val="24"/>
          <w:szCs w:val="24"/>
        </w:rPr>
      </w:pPr>
      <w:r w:rsidRPr="00D767DA">
        <w:rPr>
          <w:i w:val="0"/>
          <w:sz w:val="24"/>
          <w:szCs w:val="24"/>
        </w:rPr>
        <w:t>Conclusions</w:t>
      </w:r>
    </w:p>
    <w:p w14:paraId="1409ACBD" w14:textId="77777777" w:rsidR="003F11F9" w:rsidRPr="001949C7" w:rsidRDefault="00B014F2" w:rsidP="001949C7">
      <w:pPr>
        <w:rPr>
          <w:lang w:val="en-US"/>
        </w:rPr>
      </w:pPr>
      <w:r>
        <w:rPr>
          <w:lang w:val="en-US"/>
        </w:rPr>
        <w:t xml:space="preserve">The paper provides insights into </w:t>
      </w:r>
      <w:r w:rsidR="00DE2940">
        <w:rPr>
          <w:lang w:val="en-US"/>
        </w:rPr>
        <w:t xml:space="preserve">the </w:t>
      </w:r>
      <w:r w:rsidR="00705188">
        <w:rPr>
          <w:lang w:val="en-US"/>
        </w:rPr>
        <w:t xml:space="preserve">impact </w:t>
      </w:r>
      <w:r w:rsidR="00DE2940">
        <w:rPr>
          <w:lang w:val="en-US"/>
        </w:rPr>
        <w:t xml:space="preserve">of lifestyle changes </w:t>
      </w:r>
      <w:r w:rsidR="00705188">
        <w:rPr>
          <w:lang w:val="en-US"/>
        </w:rPr>
        <w:t xml:space="preserve">on </w:t>
      </w:r>
      <w:r w:rsidR="00DE2940">
        <w:rPr>
          <w:lang w:val="en-US"/>
        </w:rPr>
        <w:t>decarbonization of the energy system</w:t>
      </w:r>
      <w:r>
        <w:rPr>
          <w:lang w:val="en-US"/>
        </w:rPr>
        <w:t xml:space="preserve">. </w:t>
      </w:r>
      <w:r w:rsidR="00DE2940">
        <w:rPr>
          <w:lang w:val="en-US"/>
        </w:rPr>
        <w:t>Main conclusions include that</w:t>
      </w:r>
      <w:r w:rsidR="00DE2940" w:rsidRPr="00DE2940">
        <w:rPr>
          <w:lang w:val="en-US"/>
        </w:rPr>
        <w:t xml:space="preserve"> </w:t>
      </w:r>
      <w:r w:rsidR="00705188">
        <w:rPr>
          <w:lang w:val="en-US"/>
        </w:rPr>
        <w:t>sufficiency measures</w:t>
      </w:r>
      <w:r w:rsidR="00DE2940" w:rsidRPr="00DE2940">
        <w:rPr>
          <w:lang w:val="en-US"/>
        </w:rPr>
        <w:t xml:space="preserve"> have the potential to reduce energy consumption,</w:t>
      </w:r>
      <w:r w:rsidR="00383F9E">
        <w:rPr>
          <w:lang w:val="en-US"/>
        </w:rPr>
        <w:t xml:space="preserve"> </w:t>
      </w:r>
      <w:r w:rsidR="00DE2940" w:rsidRPr="00DE2940">
        <w:rPr>
          <w:lang w:val="en-US"/>
        </w:rPr>
        <w:t>the</w:t>
      </w:r>
      <w:r w:rsidR="00705188">
        <w:rPr>
          <w:lang w:val="en-US"/>
        </w:rPr>
        <w:t>ir</w:t>
      </w:r>
      <w:r w:rsidR="00DE2940" w:rsidRPr="00DE2940">
        <w:rPr>
          <w:lang w:val="en-US"/>
        </w:rPr>
        <w:t xml:space="preserve"> </w:t>
      </w:r>
      <w:r w:rsidR="00705188">
        <w:rPr>
          <w:lang w:val="en-US"/>
        </w:rPr>
        <w:t>effect</w:t>
      </w:r>
      <w:r w:rsidR="00705188" w:rsidRPr="00DE2940">
        <w:rPr>
          <w:lang w:val="en-US"/>
        </w:rPr>
        <w:t xml:space="preserve"> </w:t>
      </w:r>
      <w:r w:rsidR="00DE2940" w:rsidRPr="00DE2940">
        <w:rPr>
          <w:lang w:val="en-US"/>
        </w:rPr>
        <w:t xml:space="preserve">on the supply side </w:t>
      </w:r>
      <w:r w:rsidR="00705188">
        <w:rPr>
          <w:lang w:val="en-US"/>
        </w:rPr>
        <w:t>is</w:t>
      </w:r>
      <w:r w:rsidR="00DE2940" w:rsidRPr="00DE2940">
        <w:rPr>
          <w:lang w:val="en-US"/>
        </w:rPr>
        <w:t xml:space="preserve"> significant and should therefore be included in energy modeling and policy advice.</w:t>
      </w:r>
    </w:p>
    <w:p w14:paraId="523477DF" w14:textId="77777777" w:rsidR="00E62244" w:rsidRDefault="00E62244">
      <w:pPr>
        <w:pStyle w:val="berschrift2"/>
        <w:rPr>
          <w:i w:val="0"/>
          <w:sz w:val="24"/>
          <w:szCs w:val="24"/>
        </w:rPr>
      </w:pPr>
      <w:r w:rsidRPr="00D767DA">
        <w:rPr>
          <w:i w:val="0"/>
          <w:sz w:val="24"/>
          <w:szCs w:val="24"/>
        </w:rPr>
        <w:t>References</w:t>
      </w:r>
    </w:p>
    <w:p w14:paraId="41E77C1B" w14:textId="77777777" w:rsidR="00F13522" w:rsidRDefault="00C13CFE" w:rsidP="00F13522">
      <w:pPr>
        <w:pStyle w:val="Literaturverzeichnis"/>
      </w:pPr>
      <w:r>
        <w:fldChar w:fldCharType="begin"/>
      </w:r>
      <w:r>
        <w:instrText xml:space="preserve"> ADDIN ZOTERO_BIBL {"uncited":[],"omitted":[],"custom":[]} CSL_BIBLIOGRAPHY </w:instrText>
      </w:r>
      <w:r>
        <w:fldChar w:fldCharType="separate"/>
      </w:r>
      <w:proofErr w:type="spellStart"/>
      <w:r w:rsidR="00F13522" w:rsidRPr="00F13522">
        <w:t>Creutzig</w:t>
      </w:r>
      <w:proofErr w:type="spellEnd"/>
      <w:r w:rsidR="00F13522" w:rsidRPr="00F13522">
        <w:t xml:space="preserve">, Felix, </w:t>
      </w:r>
      <w:proofErr w:type="spellStart"/>
      <w:r w:rsidR="00F13522" w:rsidRPr="00F13522">
        <w:t>Joyashree</w:t>
      </w:r>
      <w:proofErr w:type="spellEnd"/>
      <w:r w:rsidR="00F13522" w:rsidRPr="00F13522">
        <w:t xml:space="preserve"> Roy, William F. Lamb, </w:t>
      </w:r>
      <w:proofErr w:type="spellStart"/>
      <w:r w:rsidR="00F13522" w:rsidRPr="00F13522">
        <w:t>Inês</w:t>
      </w:r>
      <w:proofErr w:type="spellEnd"/>
      <w:r w:rsidR="00F13522" w:rsidRPr="00F13522">
        <w:t xml:space="preserve"> M. L. Azevedo, </w:t>
      </w:r>
      <w:proofErr w:type="spellStart"/>
      <w:r w:rsidR="00F13522" w:rsidRPr="00F13522">
        <w:t>Wändi</w:t>
      </w:r>
      <w:proofErr w:type="spellEnd"/>
      <w:r w:rsidR="00F13522" w:rsidRPr="00F13522">
        <w:t xml:space="preserve"> </w:t>
      </w:r>
      <w:proofErr w:type="spellStart"/>
      <w:r w:rsidR="00F13522" w:rsidRPr="00F13522">
        <w:t>Bruine</w:t>
      </w:r>
      <w:proofErr w:type="spellEnd"/>
      <w:r w:rsidR="00F13522" w:rsidRPr="00F13522">
        <w:t xml:space="preserve"> de Bruin, Holger </w:t>
      </w:r>
      <w:proofErr w:type="spellStart"/>
      <w:r w:rsidR="00F13522" w:rsidRPr="00F13522">
        <w:t>Dalkmann</w:t>
      </w:r>
      <w:proofErr w:type="spellEnd"/>
      <w:r w:rsidR="00F13522" w:rsidRPr="00F13522">
        <w:t xml:space="preserve">, </w:t>
      </w:r>
      <w:proofErr w:type="spellStart"/>
      <w:r w:rsidR="00F13522" w:rsidRPr="00F13522">
        <w:t>Oreane</w:t>
      </w:r>
      <w:proofErr w:type="spellEnd"/>
      <w:r w:rsidR="00F13522" w:rsidRPr="00F13522">
        <w:t xml:space="preserve"> Y. </w:t>
      </w:r>
      <w:proofErr w:type="spellStart"/>
      <w:r w:rsidR="00F13522" w:rsidRPr="00F13522">
        <w:t>Edelenbosch</w:t>
      </w:r>
      <w:proofErr w:type="spellEnd"/>
      <w:r w:rsidR="00F13522" w:rsidRPr="00F13522">
        <w:t xml:space="preserve">, et al. 2018. “Towards Demand-Side Solutions for Mitigating Climate Change.” </w:t>
      </w:r>
      <w:r w:rsidR="00F13522" w:rsidRPr="00F13522">
        <w:rPr>
          <w:i/>
          <w:iCs/>
        </w:rPr>
        <w:t>Nature Climate Change</w:t>
      </w:r>
      <w:r w:rsidR="00F13522" w:rsidRPr="00F13522">
        <w:t xml:space="preserve"> 8 (4): 260.</w:t>
      </w:r>
    </w:p>
    <w:p w14:paraId="6890E655" w14:textId="77777777" w:rsidR="006C41C5" w:rsidRPr="0023235C" w:rsidRDefault="006C41C5" w:rsidP="006C41C5">
      <w:pPr>
        <w:pStyle w:val="Literaturverzeichnis"/>
      </w:pPr>
      <w:proofErr w:type="spellStart"/>
      <w:r w:rsidRPr="0023235C">
        <w:t>Goeke</w:t>
      </w:r>
      <w:proofErr w:type="spellEnd"/>
      <w:r w:rsidRPr="0023235C">
        <w:t>, Leonard. forthcoming. “</w:t>
      </w:r>
      <w:proofErr w:type="spellStart"/>
      <w:r w:rsidRPr="0023235C">
        <w:t>AnyMOD</w:t>
      </w:r>
      <w:proofErr w:type="spellEnd"/>
      <w:r w:rsidRPr="0023235C">
        <w:t xml:space="preserve"> – A Graph-Based Framework for Energy System Modelling with High Levels of Renewables and Sector Integration.” </w:t>
      </w:r>
      <w:r w:rsidRPr="0023235C">
        <w:rPr>
          <w:i/>
          <w:iCs/>
        </w:rPr>
        <w:t>DIW Discussion Paper</w:t>
      </w:r>
      <w:r w:rsidRPr="0023235C">
        <w:t>.</w:t>
      </w:r>
    </w:p>
    <w:p w14:paraId="19E13282" w14:textId="77777777" w:rsidR="006C41C5" w:rsidRPr="006C41C5" w:rsidRDefault="006C41C5" w:rsidP="006C41C5">
      <w:pPr>
        <w:pStyle w:val="Literaturverzeichnis"/>
      </w:pPr>
      <w:r w:rsidRPr="0023235C">
        <w:t>Göke, Leonhard. 2020. “</w:t>
      </w:r>
      <w:proofErr w:type="spellStart"/>
      <w:r w:rsidRPr="0023235C">
        <w:t>AnyMOD</w:t>
      </w:r>
      <w:proofErr w:type="spellEnd"/>
      <w:r w:rsidRPr="0023235C">
        <w:t xml:space="preserve"> – A Graph-Based Framework for Energy System Modelling with High Levels of Renewables and Sector Integration.” </w:t>
      </w:r>
      <w:r w:rsidRPr="0023235C">
        <w:rPr>
          <w:i/>
          <w:iCs/>
        </w:rPr>
        <w:t>Archive</w:t>
      </w:r>
      <w:r w:rsidRPr="0023235C">
        <w:t>.</w:t>
      </w:r>
    </w:p>
    <w:p w14:paraId="6F5B60B8" w14:textId="77777777" w:rsidR="00F13522" w:rsidRPr="00F13522" w:rsidRDefault="00F13522" w:rsidP="00F13522">
      <w:pPr>
        <w:pStyle w:val="Literaturverzeichnis"/>
      </w:pPr>
      <w:proofErr w:type="spellStart"/>
      <w:r w:rsidRPr="00F13522">
        <w:t>Grubler</w:t>
      </w:r>
      <w:proofErr w:type="spellEnd"/>
      <w:r w:rsidRPr="00F13522">
        <w:t xml:space="preserve">, Arnulf, Charlie Wilson, Nuno Bento, </w:t>
      </w:r>
      <w:proofErr w:type="spellStart"/>
      <w:r w:rsidRPr="00F13522">
        <w:t>Benigna</w:t>
      </w:r>
      <w:proofErr w:type="spellEnd"/>
      <w:r w:rsidRPr="00F13522">
        <w:t xml:space="preserve"> Boza-Kiss, Volker </w:t>
      </w:r>
      <w:proofErr w:type="spellStart"/>
      <w:r w:rsidRPr="00F13522">
        <w:t>Krey</w:t>
      </w:r>
      <w:proofErr w:type="spellEnd"/>
      <w:r w:rsidRPr="00F13522">
        <w:t xml:space="preserve">, David L. McCollum, Narasimha D. Rao, et al. 2018. “A Low Energy Demand Scenario for Meeting the 1.5 °C Target and Sustainable Development Goals without Negative Emission Technologies.” </w:t>
      </w:r>
      <w:r w:rsidRPr="00F13522">
        <w:rPr>
          <w:i/>
          <w:iCs/>
        </w:rPr>
        <w:t>Nature Energy</w:t>
      </w:r>
      <w:r w:rsidRPr="00F13522">
        <w:t xml:space="preserve"> 3 (6): 515.</w:t>
      </w:r>
    </w:p>
    <w:p w14:paraId="1F9A553A" w14:textId="77777777" w:rsidR="00F13522" w:rsidRPr="00F13522" w:rsidRDefault="00F13522" w:rsidP="00F13522">
      <w:pPr>
        <w:pStyle w:val="Literaturverzeichnis"/>
      </w:pPr>
      <w:proofErr w:type="spellStart"/>
      <w:r w:rsidRPr="00F13522">
        <w:t>Mundaca</w:t>
      </w:r>
      <w:proofErr w:type="spellEnd"/>
      <w:r w:rsidRPr="00F13522">
        <w:t xml:space="preserve">, Luis, Diana </w:t>
      </w:r>
      <w:proofErr w:type="spellStart"/>
      <w:r w:rsidRPr="00F13522">
        <w:t>Ürge-Vorsatz</w:t>
      </w:r>
      <w:proofErr w:type="spellEnd"/>
      <w:r w:rsidRPr="00F13522">
        <w:t xml:space="preserve">, and Charlie Wilson. 2019. “Demand-Side Approaches for Limiting Global Warming to 1.5 °C.” </w:t>
      </w:r>
      <w:r w:rsidRPr="00F13522">
        <w:rPr>
          <w:i/>
          <w:iCs/>
        </w:rPr>
        <w:t>Energy Efficiency</w:t>
      </w:r>
      <w:r w:rsidRPr="00F13522">
        <w:t xml:space="preserve"> 12 (2): 343–362.</w:t>
      </w:r>
    </w:p>
    <w:p w14:paraId="7EC45893" w14:textId="77777777" w:rsidR="00A247C7" w:rsidRPr="000C25E0" w:rsidRDefault="00C13CFE" w:rsidP="00DE45BE">
      <w:pPr>
        <w:pStyle w:val="Literaturverzeichnis"/>
        <w:jc w:val="both"/>
      </w:pPr>
      <w:r>
        <w:fldChar w:fldCharType="end"/>
      </w:r>
    </w:p>
    <w:sectPr w:rsidR="00A247C7" w:rsidRPr="000C25E0" w:rsidSect="00CD69C3">
      <w:headerReference w:type="default" r:id="rId9"/>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1CC9" w14:textId="77777777" w:rsidR="00BA204E" w:rsidRDefault="00BA204E">
      <w:r>
        <w:separator/>
      </w:r>
    </w:p>
  </w:endnote>
  <w:endnote w:type="continuationSeparator" w:id="0">
    <w:p w14:paraId="7096A9CE" w14:textId="77777777" w:rsidR="00BA204E" w:rsidRDefault="00BA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98CE" w14:textId="77777777" w:rsidR="00BA204E" w:rsidRDefault="00BA204E">
      <w:r>
        <w:separator/>
      </w:r>
    </w:p>
  </w:footnote>
  <w:footnote w:type="continuationSeparator" w:id="0">
    <w:p w14:paraId="62C50361" w14:textId="77777777" w:rsidR="00BA204E" w:rsidRDefault="00BA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C317" w14:textId="77777777" w:rsidR="00810F60" w:rsidRDefault="00810F60">
    <w:pPr>
      <w:pStyle w:val="Kopfzeile"/>
      <w:pBdr>
        <w:bottom w:val="single" w:sz="6" w:space="6" w:color="auto"/>
      </w:pBdr>
      <w:spacing w:after="120"/>
    </w:pPr>
    <w:r>
      <w:fldChar w:fldCharType="begin"/>
    </w:r>
    <w:r>
      <w:instrText xml:space="preserve">page </w:instrText>
    </w:r>
    <w:r>
      <w:fldChar w:fldCharType="separate"/>
    </w:r>
    <w:r>
      <w:rPr>
        <w:noProof/>
      </w:rPr>
      <w:t>3</w:t>
    </w:r>
    <w:r>
      <w:fldChar w:fldCharType="end"/>
    </w:r>
    <w:r>
      <w:rPr>
        <w:caps/>
      </w:rPr>
      <w:t xml:space="preserve">                                   </w:t>
    </w:r>
    <w:r>
      <w:t>Intelligent Well Technology: Status and Opportunities for Developing Marginal Reserves       SPE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E16B" w14:textId="77777777" w:rsidR="00810F60" w:rsidRDefault="00810F60" w:rsidP="00D767DA">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00412E"/>
    <w:rsid w:val="00066E62"/>
    <w:rsid w:val="00070347"/>
    <w:rsid w:val="000C25E0"/>
    <w:rsid w:val="000D2F1D"/>
    <w:rsid w:val="00101211"/>
    <w:rsid w:val="00167168"/>
    <w:rsid w:val="001949C7"/>
    <w:rsid w:val="001A7BFD"/>
    <w:rsid w:val="001D4F87"/>
    <w:rsid w:val="001F7854"/>
    <w:rsid w:val="00212732"/>
    <w:rsid w:val="00225CD3"/>
    <w:rsid w:val="003201CE"/>
    <w:rsid w:val="003468BB"/>
    <w:rsid w:val="00352FDE"/>
    <w:rsid w:val="0035615B"/>
    <w:rsid w:val="00366E3D"/>
    <w:rsid w:val="00370DCD"/>
    <w:rsid w:val="00372199"/>
    <w:rsid w:val="00383F9E"/>
    <w:rsid w:val="003F11F9"/>
    <w:rsid w:val="00400FBA"/>
    <w:rsid w:val="00420BA1"/>
    <w:rsid w:val="00476853"/>
    <w:rsid w:val="0048586E"/>
    <w:rsid w:val="004B7C0A"/>
    <w:rsid w:val="005012CC"/>
    <w:rsid w:val="00502F57"/>
    <w:rsid w:val="005A02B2"/>
    <w:rsid w:val="005A3B85"/>
    <w:rsid w:val="005C7B44"/>
    <w:rsid w:val="00681D2E"/>
    <w:rsid w:val="006824C6"/>
    <w:rsid w:val="006856D7"/>
    <w:rsid w:val="006C077B"/>
    <w:rsid w:val="006C41C5"/>
    <w:rsid w:val="00705188"/>
    <w:rsid w:val="007677D5"/>
    <w:rsid w:val="00792A08"/>
    <w:rsid w:val="007B5C35"/>
    <w:rsid w:val="007D077B"/>
    <w:rsid w:val="00810F60"/>
    <w:rsid w:val="00884F1F"/>
    <w:rsid w:val="008B428D"/>
    <w:rsid w:val="008F1938"/>
    <w:rsid w:val="008F1A78"/>
    <w:rsid w:val="008F5750"/>
    <w:rsid w:val="0090758C"/>
    <w:rsid w:val="00920E35"/>
    <w:rsid w:val="00923F90"/>
    <w:rsid w:val="00970B3D"/>
    <w:rsid w:val="009718FA"/>
    <w:rsid w:val="0098282A"/>
    <w:rsid w:val="00990E46"/>
    <w:rsid w:val="009C6A8E"/>
    <w:rsid w:val="009D0BE9"/>
    <w:rsid w:val="00A247C7"/>
    <w:rsid w:val="00A50D9A"/>
    <w:rsid w:val="00AB3CFC"/>
    <w:rsid w:val="00AC43EF"/>
    <w:rsid w:val="00AD216F"/>
    <w:rsid w:val="00AF461F"/>
    <w:rsid w:val="00B014F2"/>
    <w:rsid w:val="00B914FF"/>
    <w:rsid w:val="00BA1EA5"/>
    <w:rsid w:val="00BA204E"/>
    <w:rsid w:val="00BA275F"/>
    <w:rsid w:val="00C10134"/>
    <w:rsid w:val="00C13CFE"/>
    <w:rsid w:val="00C22FCA"/>
    <w:rsid w:val="00C80856"/>
    <w:rsid w:val="00CB6B95"/>
    <w:rsid w:val="00CC76CC"/>
    <w:rsid w:val="00CD69C3"/>
    <w:rsid w:val="00D1764E"/>
    <w:rsid w:val="00D24EAC"/>
    <w:rsid w:val="00D327CB"/>
    <w:rsid w:val="00D767DA"/>
    <w:rsid w:val="00D83B67"/>
    <w:rsid w:val="00DC0EE6"/>
    <w:rsid w:val="00DE2940"/>
    <w:rsid w:val="00DE45BE"/>
    <w:rsid w:val="00E379BE"/>
    <w:rsid w:val="00E62244"/>
    <w:rsid w:val="00E70538"/>
    <w:rsid w:val="00E76E69"/>
    <w:rsid w:val="00F13522"/>
    <w:rsid w:val="00F334B0"/>
    <w:rsid w:val="00F51EBF"/>
    <w:rsid w:val="00F60AB3"/>
    <w:rsid w:val="00F73B4C"/>
    <w:rsid w:val="00FA23DE"/>
    <w:rsid w:val="00FA77E9"/>
    <w:rsid w:val="00FC6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BDDAC"/>
  <w15:chartTrackingRefBased/>
  <w15:docId w15:val="{A05D2BBE-0CDA-4D89-B3CD-15EEA703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NichtaufgelsteErwhnung">
    <w:name w:val="Unresolved Mention"/>
    <w:uiPriority w:val="99"/>
    <w:semiHidden/>
    <w:unhideWhenUsed/>
    <w:rsid w:val="00366E3D"/>
    <w:rPr>
      <w:color w:val="605E5C"/>
      <w:shd w:val="clear" w:color="auto" w:fill="E1DFDD"/>
    </w:rPr>
  </w:style>
  <w:style w:type="paragraph" w:styleId="Literaturverzeichnis">
    <w:name w:val="Bibliography"/>
    <w:basedOn w:val="Standard"/>
    <w:next w:val="Standard"/>
    <w:uiPriority w:val="37"/>
    <w:unhideWhenUsed/>
    <w:rsid w:val="00420BA1"/>
    <w:pPr>
      <w:ind w:left="720" w:hanging="720"/>
    </w:pPr>
  </w:style>
  <w:style w:type="character" w:styleId="Kommentarzeichen">
    <w:name w:val="annotation reference"/>
    <w:rsid w:val="00070347"/>
    <w:rPr>
      <w:sz w:val="16"/>
      <w:szCs w:val="16"/>
    </w:rPr>
  </w:style>
  <w:style w:type="paragraph" w:styleId="Kommentartext">
    <w:name w:val="annotation text"/>
    <w:basedOn w:val="Standard"/>
    <w:link w:val="KommentartextZchn"/>
    <w:rsid w:val="00070347"/>
  </w:style>
  <w:style w:type="character" w:customStyle="1" w:styleId="KommentartextZchn">
    <w:name w:val="Kommentartext Zchn"/>
    <w:link w:val="Kommentartext"/>
    <w:rsid w:val="00070347"/>
    <w:rPr>
      <w:rFonts w:ascii="Times New Roman" w:hAnsi="Times New Roman"/>
      <w:lang w:val="en-GB" w:eastAsia="en-US"/>
    </w:rPr>
  </w:style>
  <w:style w:type="paragraph" w:styleId="Kommentarthema">
    <w:name w:val="annotation subject"/>
    <w:basedOn w:val="Kommentartext"/>
    <w:next w:val="Kommentartext"/>
    <w:link w:val="KommentarthemaZchn"/>
    <w:rsid w:val="00070347"/>
    <w:rPr>
      <w:b/>
      <w:bCs/>
    </w:rPr>
  </w:style>
  <w:style w:type="character" w:customStyle="1" w:styleId="KommentarthemaZchn">
    <w:name w:val="Kommentarthema Zchn"/>
    <w:link w:val="Kommentarthema"/>
    <w:rsid w:val="00070347"/>
    <w:rPr>
      <w:rFonts w:ascii="Times New Roman" w:hAnsi="Times New Roman"/>
      <w:b/>
      <w:bCs/>
      <w:lang w:val="en-GB" w:eastAsia="en-US"/>
    </w:rPr>
  </w:style>
  <w:style w:type="paragraph" w:styleId="berarbeitung">
    <w:name w:val="Revision"/>
    <w:hidden/>
    <w:uiPriority w:val="99"/>
    <w:semiHidden/>
    <w:rsid w:val="001D4F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1613</Words>
  <Characters>10163</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Curtin University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Ripple</dc:creator>
  <cp:keywords/>
  <cp:lastModifiedBy>TU-Pseudonym 0740797644524674</cp:lastModifiedBy>
  <cp:revision>2</cp:revision>
  <cp:lastPrinted>2007-05-17T19:32:00Z</cp:lastPrinted>
  <dcterms:created xsi:type="dcterms:W3CDTF">2021-04-01T13:17:00Z</dcterms:created>
  <dcterms:modified xsi:type="dcterms:W3CDTF">2021-04-01T13:17:00Z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id="UMWAssuE"/&gt;&lt;style id="http://www.zotero.org/styles/chicago-author-date-withour-URL" hasBibliography="1" bibliographyStyleHasBeenSet="1"/&gt;&lt;prefs&gt;&lt;pref name="fieldType" value="Field"/&gt;&lt;/prefs&gt;&lt;/dat</vt:lpwstr>
  </property>
  <property fmtid="{D5CDD505-2E9C-101B-9397-08002B2CF9AE}" pid="3" name="ZOTERO_PREF_2">
    <vt:lpwstr>a&gt;</vt:lpwstr>
  </property>
</Properties>
</file>