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EA039" w14:textId="77777777" w:rsidR="00FF1DC3" w:rsidRDefault="00FF1DC3" w:rsidP="00FF1DC3">
      <w:pPr>
        <w:framePr w:w="10800" w:h="2142" w:hRule="exact" w:hSpace="187" w:wrap="auto" w:vAnchor="page" w:hAnchor="page" w:x="714" w:y="1085"/>
        <w:jc w:val="center"/>
      </w:pPr>
      <w:r>
        <w:t xml:space="preserve">       </w:t>
      </w:r>
      <w:r>
        <w:tab/>
      </w:r>
      <w:r>
        <w:tab/>
      </w:r>
      <w:r>
        <w:tab/>
      </w:r>
      <w:r>
        <w:tab/>
      </w:r>
      <w:r>
        <w:tab/>
      </w:r>
      <w:r>
        <w:tab/>
      </w:r>
      <w:r>
        <w:tab/>
      </w:r>
      <w:r>
        <w:tab/>
      </w:r>
      <w:r>
        <w:tab/>
        <w:t xml:space="preserve">                                                 </w:t>
      </w:r>
      <w:r>
        <w:tab/>
      </w:r>
    </w:p>
    <w:p w14:paraId="52C5958E" w14:textId="77777777" w:rsidR="00FF1DC3" w:rsidRDefault="00FF1DC3" w:rsidP="00FF1DC3">
      <w:pPr>
        <w:pStyle w:val="BodyText"/>
        <w:framePr w:w="10800" w:h="2142" w:hRule="exact" w:hSpace="187" w:wrap="auto" w:vAnchor="page" w:hAnchor="page" w:x="714" w:y="1085"/>
        <w:rPr>
          <w:b/>
          <w:sz w:val="28"/>
          <w:szCs w:val="28"/>
        </w:rPr>
      </w:pPr>
      <w:r w:rsidRPr="001E3C2A">
        <w:rPr>
          <w:b/>
          <w:sz w:val="28"/>
          <w:szCs w:val="28"/>
        </w:rPr>
        <w:t xml:space="preserve">Towards Information-aware Policymaking </w:t>
      </w:r>
      <w:r>
        <w:rPr>
          <w:b/>
          <w:sz w:val="28"/>
          <w:szCs w:val="28"/>
        </w:rPr>
        <w:t>on</w:t>
      </w:r>
      <w:r w:rsidRPr="001E3C2A">
        <w:rPr>
          <w:b/>
          <w:sz w:val="28"/>
          <w:szCs w:val="28"/>
        </w:rPr>
        <w:t xml:space="preserve"> </w:t>
      </w:r>
      <w:r>
        <w:rPr>
          <w:b/>
          <w:sz w:val="28"/>
          <w:szCs w:val="28"/>
        </w:rPr>
        <w:t>DER remuneration</w:t>
      </w:r>
    </w:p>
    <w:p w14:paraId="01074354" w14:textId="77777777" w:rsidR="00FF1DC3" w:rsidRPr="001860A7" w:rsidRDefault="00FF1DC3" w:rsidP="00FF1DC3">
      <w:pPr>
        <w:pStyle w:val="BodyText2"/>
        <w:framePr w:w="10800" w:h="2142" w:hRule="exact" w:hSpace="187" w:wrap="auto" w:vAnchor="page" w:hAnchor="page" w:x="714" w:y="1085"/>
        <w:spacing w:after="200"/>
        <w:rPr>
          <w:i/>
          <w:lang w:val="en-US" w:eastAsia="ko-KR"/>
        </w:rPr>
      </w:pPr>
    </w:p>
    <w:p w14:paraId="0EAE9FB9" w14:textId="77777777" w:rsidR="00FF1DC3" w:rsidRPr="00D767DA" w:rsidRDefault="00FF1DC3" w:rsidP="00FF1DC3">
      <w:pPr>
        <w:pStyle w:val="BodyText"/>
        <w:framePr w:w="10800" w:h="2142" w:hRule="exact" w:hSpace="187" w:wrap="auto" w:vAnchor="page" w:hAnchor="page" w:x="714" w:y="1085"/>
        <w:jc w:val="right"/>
        <w:rPr>
          <w:sz w:val="20"/>
        </w:rPr>
      </w:pPr>
      <w:r w:rsidRPr="001E3C2A">
        <w:rPr>
          <w:sz w:val="20"/>
        </w:rPr>
        <w:t>Jip Kim, Dept. of Electrical &amp; Computer Engineering, New York University, jipkim@nyu.edu</w:t>
      </w:r>
    </w:p>
    <w:p w14:paraId="5C322425" w14:textId="77777777" w:rsidR="00FF1DC3" w:rsidRPr="00D767DA" w:rsidRDefault="00FF1DC3" w:rsidP="00FF1DC3">
      <w:pPr>
        <w:pStyle w:val="BodyText"/>
        <w:framePr w:w="10800" w:h="2142" w:hRule="exact" w:hSpace="187" w:wrap="auto" w:vAnchor="page" w:hAnchor="page" w:x="714" w:y="1085"/>
        <w:jc w:val="right"/>
        <w:rPr>
          <w:sz w:val="20"/>
        </w:rPr>
      </w:pPr>
      <w:proofErr w:type="spellStart"/>
      <w:r w:rsidRPr="001E3C2A">
        <w:rPr>
          <w:sz w:val="20"/>
        </w:rPr>
        <w:t>Sylwia</w:t>
      </w:r>
      <w:proofErr w:type="spellEnd"/>
      <w:r w:rsidRPr="001E3C2A">
        <w:rPr>
          <w:sz w:val="20"/>
        </w:rPr>
        <w:t xml:space="preserve"> </w:t>
      </w:r>
      <w:proofErr w:type="spellStart"/>
      <w:r w:rsidRPr="001E3C2A">
        <w:rPr>
          <w:sz w:val="20"/>
        </w:rPr>
        <w:t>Bialek</w:t>
      </w:r>
      <w:proofErr w:type="spellEnd"/>
      <w:r w:rsidRPr="001E3C2A">
        <w:rPr>
          <w:sz w:val="20"/>
        </w:rPr>
        <w:t>, Institute for Policy Integrity, New York University, sylwia.bialek@nyu.edu</w:t>
      </w:r>
      <w:r w:rsidRPr="00D767DA">
        <w:rPr>
          <w:sz w:val="20"/>
        </w:rPr>
        <w:t xml:space="preserve"> </w:t>
      </w:r>
    </w:p>
    <w:p w14:paraId="0AA17DAB" w14:textId="77777777" w:rsidR="00FF1DC3" w:rsidRDefault="00FF1DC3" w:rsidP="00FF1DC3">
      <w:pPr>
        <w:pStyle w:val="BodyText"/>
        <w:framePr w:w="10800" w:h="2142" w:hRule="exact" w:hSpace="187" w:wrap="auto" w:vAnchor="page" w:hAnchor="page" w:x="714" w:y="1085"/>
        <w:jc w:val="right"/>
      </w:pPr>
      <w:proofErr w:type="spellStart"/>
      <w:r w:rsidRPr="001E3C2A">
        <w:rPr>
          <w:sz w:val="20"/>
        </w:rPr>
        <w:t>Burcin</w:t>
      </w:r>
      <w:proofErr w:type="spellEnd"/>
      <w:r w:rsidRPr="001E3C2A">
        <w:rPr>
          <w:sz w:val="20"/>
        </w:rPr>
        <w:t xml:space="preserve"> </w:t>
      </w:r>
      <w:proofErr w:type="spellStart"/>
      <w:r w:rsidRPr="001E3C2A">
        <w:rPr>
          <w:sz w:val="20"/>
        </w:rPr>
        <w:t>Unel</w:t>
      </w:r>
      <w:proofErr w:type="spellEnd"/>
      <w:r w:rsidRPr="001E3C2A">
        <w:rPr>
          <w:sz w:val="20"/>
        </w:rPr>
        <w:t>, Institute for Policy Integrity, New York University, burcin.unel@nyu.edu</w:t>
      </w:r>
      <w:r>
        <w:t xml:space="preserve"> </w:t>
      </w:r>
    </w:p>
    <w:p w14:paraId="705EB939" w14:textId="77777777" w:rsidR="00FF1DC3" w:rsidRPr="00D767DA" w:rsidRDefault="00FF1DC3" w:rsidP="00FF1DC3">
      <w:pPr>
        <w:pStyle w:val="BodyText2"/>
        <w:framePr w:w="10800" w:h="2142" w:hRule="exact" w:hSpace="187" w:wrap="auto" w:vAnchor="page" w:hAnchor="page" w:x="714" w:y="1085"/>
        <w:spacing w:after="200"/>
        <w:jc w:val="right"/>
        <w:rPr>
          <w:i/>
        </w:rPr>
      </w:pPr>
      <w:proofErr w:type="spellStart"/>
      <w:r w:rsidRPr="001E3C2A">
        <w:t>Yury</w:t>
      </w:r>
      <w:proofErr w:type="spellEnd"/>
      <w:r w:rsidRPr="001E3C2A">
        <w:t xml:space="preserve"> </w:t>
      </w:r>
      <w:proofErr w:type="spellStart"/>
      <w:r w:rsidRPr="001E3C2A">
        <w:t>Dvorkin</w:t>
      </w:r>
      <w:proofErr w:type="spellEnd"/>
      <w:r w:rsidRPr="001E3C2A">
        <w:t>, Dept. of Electrical &amp; Computer Engineering, New York University, dvorkin@nyu.edu</w:t>
      </w:r>
    </w:p>
    <w:p w14:paraId="7CF4B112" w14:textId="77777777" w:rsidR="00FF1DC3" w:rsidRDefault="00FF1DC3" w:rsidP="00FF1DC3">
      <w:pPr>
        <w:pStyle w:val="copyright"/>
      </w:pPr>
    </w:p>
    <w:p w14:paraId="164756C6" w14:textId="77777777" w:rsidR="009C3713" w:rsidRDefault="009C3713" w:rsidP="00FF1DC3">
      <w:pPr>
        <w:pStyle w:val="Heading2"/>
        <w:ind w:left="-810" w:firstLine="810"/>
        <w:rPr>
          <w:i w:val="0"/>
          <w:sz w:val="24"/>
          <w:szCs w:val="24"/>
        </w:rPr>
      </w:pPr>
    </w:p>
    <w:p w14:paraId="5239F8FF" w14:textId="6F07B8BE" w:rsidR="00FF1DC3" w:rsidRPr="00476853" w:rsidRDefault="00FF1DC3" w:rsidP="00FF1DC3">
      <w:pPr>
        <w:pStyle w:val="Heading2"/>
        <w:ind w:left="-810" w:firstLine="810"/>
        <w:rPr>
          <w:i w:val="0"/>
          <w:sz w:val="24"/>
          <w:szCs w:val="24"/>
        </w:rPr>
      </w:pPr>
      <w:r w:rsidRPr="00476853">
        <w:rPr>
          <w:i w:val="0"/>
          <w:sz w:val="24"/>
          <w:szCs w:val="24"/>
        </w:rPr>
        <w:t>Overview</w:t>
      </w:r>
    </w:p>
    <w:p w14:paraId="1512396A" w14:textId="23509938" w:rsidR="00FF1DC3" w:rsidRPr="00BB0E1F" w:rsidRDefault="00FF1DC3" w:rsidP="00FF1DC3">
      <w:pPr>
        <w:pStyle w:val="BodyText2"/>
        <w:spacing w:after="200"/>
      </w:pPr>
      <w:r w:rsidRPr="00BB0E1F">
        <w:t xml:space="preserve">Decarbonization </w:t>
      </w:r>
      <w:r>
        <w:t xml:space="preserve">of energy systems </w:t>
      </w:r>
      <w:r w:rsidRPr="00BB0E1F">
        <w:t>benefit</w:t>
      </w:r>
      <w:r w:rsidR="004640A4">
        <w:t>s</w:t>
      </w:r>
      <w:r w:rsidRPr="00BB0E1F">
        <w:t xml:space="preserve"> strongly from the deployment of distributed energy resources (DERs) with little or zero carbon footprints such as solar, wind, and small hydro. </w:t>
      </w:r>
      <w:r>
        <w:t>Thus, a</w:t>
      </w:r>
      <w:r w:rsidRPr="00BB0E1F">
        <w:t xml:space="preserve">ppropriate remuneration policies for </w:t>
      </w:r>
      <w:r>
        <w:t xml:space="preserve">stimulating </w:t>
      </w:r>
      <w:r w:rsidRPr="00BB0E1F">
        <w:t>DER</w:t>
      </w:r>
      <w:r>
        <w:t xml:space="preserve"> deployments</w:t>
      </w:r>
      <w:r w:rsidRPr="00BB0E1F">
        <w:t xml:space="preserve"> are crucial for efficient energy transition and </w:t>
      </w:r>
      <w:r>
        <w:t>achieving</w:t>
      </w:r>
      <w:r>
        <w:t xml:space="preserve"> </w:t>
      </w:r>
      <w:r w:rsidRPr="00BB0E1F">
        <w:t xml:space="preserve">low-carbon goals. To better </w:t>
      </w:r>
      <w:r>
        <w:t>align remuneration with</w:t>
      </w:r>
      <w:r w:rsidRPr="00BB0E1F">
        <w:t xml:space="preserve"> the value of DERs, some jurisdictions have introduced advanced remuneration policies, replacing the </w:t>
      </w:r>
      <w:r>
        <w:t>legacy approach of</w:t>
      </w:r>
      <w:r w:rsidRPr="00BB0E1F">
        <w:t xml:space="preserve"> net energy metering (NEM). For instance, the Department of Public Service of New York </w:t>
      </w:r>
      <w:r>
        <w:t>designed</w:t>
      </w:r>
      <w:r w:rsidRPr="00BB0E1F">
        <w:t xml:space="preserve"> </w:t>
      </w:r>
      <w:r>
        <w:t xml:space="preserve">a value stack approach </w:t>
      </w:r>
      <w:r w:rsidRPr="00BB0E1F">
        <w:t xml:space="preserve">to compensate DERs at </w:t>
      </w:r>
      <w:r>
        <w:t>a</w:t>
      </w:r>
      <w:r w:rsidRPr="00BB0E1F">
        <w:t xml:space="preserve"> rate reflecting </w:t>
      </w:r>
      <w:r>
        <w:t xml:space="preserve">their </w:t>
      </w:r>
      <w:r w:rsidRPr="00BB0E1F">
        <w:t xml:space="preserve">energy, environmental, </w:t>
      </w:r>
      <w:r>
        <w:t>capacity</w:t>
      </w:r>
      <w:r w:rsidRPr="00BB0E1F">
        <w:t xml:space="preserve"> value</w:t>
      </w:r>
      <w:r>
        <w:t>, among others</w:t>
      </w:r>
      <w:r w:rsidRPr="00BB0E1F">
        <w:t xml:space="preserve"> [1]. </w:t>
      </w:r>
      <w:r>
        <w:t>D</w:t>
      </w:r>
      <w:r w:rsidRPr="00BB0E1F">
        <w:t>istribution locational marginal pricing (DLMP</w:t>
      </w:r>
      <w:r>
        <w:t>)</w:t>
      </w:r>
      <w:r>
        <w:t xml:space="preserve"> is another </w:t>
      </w:r>
      <w:r>
        <w:t>re</w:t>
      </w:r>
      <w:r w:rsidR="004640A4">
        <w:t>m</w:t>
      </w:r>
      <w:r>
        <w:t>u</w:t>
      </w:r>
      <w:r w:rsidR="004640A4">
        <w:t>n</w:t>
      </w:r>
      <w:r>
        <w:t>eration</w:t>
      </w:r>
      <w:r>
        <w:t xml:space="preserve"> alternative, which</w:t>
      </w:r>
      <w:r w:rsidRPr="00BB0E1F">
        <w:t xml:space="preserve"> can account not only for</w:t>
      </w:r>
      <w:r>
        <w:t xml:space="preserve"> the</w:t>
      </w:r>
      <w:r w:rsidRPr="00BB0E1F">
        <w:t xml:space="preserve"> energy value but also for loss</w:t>
      </w:r>
      <w:r>
        <w:t>es</w:t>
      </w:r>
      <w:r w:rsidRPr="00BB0E1F">
        <w:t>, voltage</w:t>
      </w:r>
      <w:r>
        <w:t xml:space="preserve"> regulation</w:t>
      </w:r>
      <w:r w:rsidRPr="00BB0E1F">
        <w:t>,</w:t>
      </w:r>
      <w:r>
        <w:t xml:space="preserve"> and</w:t>
      </w:r>
      <w:r w:rsidRPr="00BB0E1F">
        <w:t xml:space="preserve"> congestion and</w:t>
      </w:r>
      <w:r>
        <w:t>,</w:t>
      </w:r>
      <w:r w:rsidRPr="00BB0E1F">
        <w:t xml:space="preserve"> therefore, provide more accurate pricing signals</w:t>
      </w:r>
      <w:r>
        <w:t xml:space="preserve"> </w:t>
      </w:r>
      <w:r w:rsidRPr="00BB0E1F">
        <w:t>[2], [3].</w:t>
      </w:r>
    </w:p>
    <w:p w14:paraId="773144C3" w14:textId="5175FE96" w:rsidR="00FF1DC3" w:rsidRPr="00BB0E1F" w:rsidRDefault="00FF1DC3" w:rsidP="00FF1DC3">
      <w:pPr>
        <w:pStyle w:val="BodyText2"/>
        <w:spacing w:after="200"/>
      </w:pPr>
      <w:r w:rsidRPr="00BB0E1F">
        <w:t xml:space="preserve">However, unlike NEM, more dynamic remuneration policies such as </w:t>
      </w:r>
      <w:r>
        <w:t xml:space="preserve">the </w:t>
      </w:r>
      <w:r w:rsidRPr="00BB0E1F">
        <w:t>value stack or DLMP</w:t>
      </w:r>
      <w:r>
        <w:t xml:space="preserve"> described above </w:t>
      </w:r>
      <w:r w:rsidRPr="00BB0E1F">
        <w:t xml:space="preserve">include inherent </w:t>
      </w:r>
      <w:r>
        <w:t>uncertainties</w:t>
      </w:r>
      <w:r w:rsidRPr="00BB0E1F">
        <w:t xml:space="preserve">. </w:t>
      </w:r>
      <w:r>
        <w:t>E</w:t>
      </w:r>
      <w:r w:rsidRPr="00BB0E1F">
        <w:t xml:space="preserve">nergy prices in both transmission and distribution networks vary depending on the time and location, and the estimation </w:t>
      </w:r>
      <w:r w:rsidR="009C3713">
        <w:t xml:space="preserve">of </w:t>
      </w:r>
      <w:r w:rsidRPr="00BB0E1F">
        <w:t>value</w:t>
      </w:r>
      <w:r w:rsidR="009C3713">
        <w:t xml:space="preserve">s that flow into </w:t>
      </w:r>
      <w:r w:rsidR="0015285F">
        <w:t xml:space="preserve">the </w:t>
      </w:r>
      <w:r w:rsidR="009C3713">
        <w:t>value stack</w:t>
      </w:r>
      <w:r w:rsidRPr="00BB0E1F">
        <w:t xml:space="preserve"> (e.g., carbon emission reduction, avoided capacity costs) is </w:t>
      </w:r>
      <w:r w:rsidR="00044BE0">
        <w:t xml:space="preserve">uncertain as well since they are </w:t>
      </w:r>
      <w:r w:rsidR="000551BA">
        <w:t xml:space="preserve">set </w:t>
      </w:r>
      <w:r w:rsidR="000551BA" w:rsidRPr="000551BA">
        <w:t>on an occasional basis</w:t>
      </w:r>
      <w:r w:rsidRPr="00BB0E1F">
        <w:t xml:space="preserve"> [1]. This </w:t>
      </w:r>
      <w:r w:rsidR="00D5668E">
        <w:t xml:space="preserve">information problem </w:t>
      </w:r>
      <w:r w:rsidRPr="00BB0E1F">
        <w:t xml:space="preserve">brings profit uncertainties to DER developers, which may increase and aggregate </w:t>
      </w:r>
      <w:r w:rsidR="009C3713" w:rsidRPr="00BB0E1F">
        <w:t>these risk exposures</w:t>
      </w:r>
      <w:r w:rsidRPr="00BB0E1F">
        <w:t>. As a result, DER investors could make sub-optimal investment</w:t>
      </w:r>
      <w:r>
        <w:t>s</w:t>
      </w:r>
      <w:r w:rsidRPr="00BB0E1F">
        <w:t xml:space="preserve">, and in turn, the overall </w:t>
      </w:r>
      <w:r w:rsidR="009C3713" w:rsidRPr="00BB0E1F">
        <w:t>social welfare</w:t>
      </w:r>
      <w:r w:rsidRPr="00BB0E1F">
        <w:t xml:space="preserve"> can be diminished</w:t>
      </w:r>
      <w:r w:rsidR="009C3713">
        <w:t xml:space="preserve"> compared to the </w:t>
      </w:r>
      <w:r w:rsidR="00A0370D">
        <w:t>omniscient</w:t>
      </w:r>
      <w:r w:rsidR="009C3713">
        <w:t xml:space="preserve"> case without </w:t>
      </w:r>
      <w:r w:rsidR="00A0370D">
        <w:t>any information problem</w:t>
      </w:r>
      <w:r w:rsidRPr="00BB0E1F">
        <w:t xml:space="preserve">. In order to avoid </w:t>
      </w:r>
      <w:r>
        <w:t xml:space="preserve">a </w:t>
      </w:r>
      <w:r w:rsidRPr="00BB0E1F">
        <w:t xml:space="preserve">sub-optimal DER roll-out and </w:t>
      </w:r>
      <w:r>
        <w:t xml:space="preserve">maximize the </w:t>
      </w:r>
      <w:r w:rsidRPr="00BB0E1F">
        <w:t>social welfare, decision-making tools for DER remuneration policies must account for</w:t>
      </w:r>
      <w:r>
        <w:t xml:space="preserve"> profit</w:t>
      </w:r>
      <w:r w:rsidRPr="00BB0E1F">
        <w:t xml:space="preserve"> risks.</w:t>
      </w:r>
    </w:p>
    <w:p w14:paraId="3827E1F4" w14:textId="5B17A3DB" w:rsidR="00FF1DC3" w:rsidRDefault="00FF1DC3" w:rsidP="00FF1DC3">
      <w:pPr>
        <w:pStyle w:val="BodyText2"/>
        <w:spacing w:after="200"/>
      </w:pPr>
      <w:r w:rsidRPr="00BB0E1F">
        <w:t xml:space="preserve">This paper aims to </w:t>
      </w:r>
      <w:proofErr w:type="spellStart"/>
      <w:r w:rsidRPr="00BB0E1F">
        <w:t>analyze</w:t>
      </w:r>
      <w:proofErr w:type="spellEnd"/>
      <w:r w:rsidRPr="00BB0E1F">
        <w:t xml:space="preserve"> the impact of information awareness </w:t>
      </w:r>
      <w:r>
        <w:t>on DER aggregators under different</w:t>
      </w:r>
      <w:r w:rsidRPr="00BB0E1F">
        <w:t xml:space="preserve"> DER remuneration policies. We take the perspective of the regulator and develop two frameworks: information-aware and information-unaware models. Similar to [4], the information-aware model assumes omniscient knowledge of the policymaker. In contrast, the information-unaware model formulates a risk-informed stochastic optimization problem. Both models account for the interests of different stakeholders (regulator, DER aggregator, power utility, wholesale electricity market, consumer) by </w:t>
      </w:r>
      <w:r>
        <w:t>exploiting</w:t>
      </w:r>
      <w:r w:rsidRPr="00BB0E1F">
        <w:t xml:space="preserve"> a multi-level structure that allows capturing strategic interactions among them. </w:t>
      </w:r>
    </w:p>
    <w:p w14:paraId="34F5F5F4" w14:textId="77777777" w:rsidR="009C3713" w:rsidRPr="00EE1DF6" w:rsidRDefault="009C3713" w:rsidP="00FF1DC3">
      <w:pPr>
        <w:pStyle w:val="BodyText2"/>
        <w:spacing w:after="200"/>
      </w:pPr>
    </w:p>
    <w:p w14:paraId="6D1423E1" w14:textId="77777777" w:rsidR="00FF1DC3" w:rsidRPr="00D767DA" w:rsidRDefault="00FF1DC3" w:rsidP="00FF1DC3">
      <w:pPr>
        <w:pStyle w:val="Heading2"/>
        <w:rPr>
          <w:i w:val="0"/>
          <w:sz w:val="24"/>
          <w:szCs w:val="24"/>
        </w:rPr>
      </w:pPr>
      <w:r w:rsidRPr="00D767DA">
        <w:rPr>
          <w:i w:val="0"/>
          <w:sz w:val="24"/>
          <w:szCs w:val="24"/>
        </w:rPr>
        <w:t>Methods</w:t>
      </w:r>
    </w:p>
    <w:p w14:paraId="69AD34C4" w14:textId="77777777" w:rsidR="0015285F" w:rsidRDefault="0015285F" w:rsidP="009C3713">
      <w:pPr>
        <w:pStyle w:val="BodyText2"/>
        <w:spacing w:after="200"/>
      </w:pPr>
      <w:r w:rsidRPr="0015285F">
        <w:t xml:space="preserve">We develop policymaking support tools that represent the decision-making process of each entity involved. Thus, the regulator sets the optimal tariff for DERs and consumers to maximize the total social welfare while meeting the exogenously set renewable portfolio standard (RPS) goal. DER aggregators are assumed to make investments (how much DER to build?) and operation decisions in the wholesale and distribution-level marketplaces (how much capacity to offer and at what price?). Also, we consider power utilities as profit-seeking entities that operate a distribution grid and serve consumers that maximize their surplus. Lastly, the wholesale electricity market maximizes the social welfare within a market service territory. </w:t>
      </w:r>
    </w:p>
    <w:p w14:paraId="0A5E80DA" w14:textId="34EAC0AE" w:rsidR="00FF1DC3" w:rsidRDefault="00FF1DC3" w:rsidP="009C3713">
      <w:pPr>
        <w:pStyle w:val="BodyText2"/>
        <w:spacing w:after="200"/>
      </w:pPr>
      <w:r>
        <w:t>W</w:t>
      </w:r>
      <w:r w:rsidRPr="00B86337">
        <w:t xml:space="preserve">e </w:t>
      </w:r>
      <w:r w:rsidR="0015285F">
        <w:t xml:space="preserve">also </w:t>
      </w:r>
      <w:r w:rsidRPr="00B86337">
        <w:t>propose a risk-informed optimization for the information-unaware model using risk measures</w:t>
      </w:r>
      <w:r w:rsidR="009C3713">
        <w:t xml:space="preserve">: </w:t>
      </w:r>
      <w:r w:rsidRPr="00B86337">
        <w:t>value-at-risk (</w:t>
      </w:r>
      <w:proofErr w:type="spellStart"/>
      <w:r w:rsidRPr="00B86337">
        <w:t>VaR</w:t>
      </w:r>
      <w:proofErr w:type="spellEnd"/>
      <w:r w:rsidRPr="00B86337">
        <w:t>) and conditional value-at-risk (</w:t>
      </w:r>
      <w:proofErr w:type="spellStart"/>
      <w:r w:rsidRPr="00B86337">
        <w:t>CVaR</w:t>
      </w:r>
      <w:proofErr w:type="spellEnd"/>
      <w:r w:rsidRPr="00B86337">
        <w:t>) [5]</w:t>
      </w:r>
      <w:proofErr w:type="gramStart"/>
      <w:r w:rsidRPr="00B86337">
        <w:t>–[</w:t>
      </w:r>
      <w:proofErr w:type="gramEnd"/>
      <w:r w:rsidRPr="00B86337">
        <w:t xml:space="preserve">8]. Both </w:t>
      </w:r>
      <w:proofErr w:type="spellStart"/>
      <w:r w:rsidRPr="00B86337">
        <w:t>VaR</w:t>
      </w:r>
      <w:proofErr w:type="spellEnd"/>
      <w:r w:rsidRPr="00B86337">
        <w:t xml:space="preserve">- and </w:t>
      </w:r>
      <w:proofErr w:type="spellStart"/>
      <w:r w:rsidRPr="00B86337">
        <w:t>CVaR</w:t>
      </w:r>
      <w:proofErr w:type="spellEnd"/>
      <w:r w:rsidRPr="00B86337">
        <w:t xml:space="preserve">-based optimizations have </w:t>
      </w:r>
      <w:r>
        <w:t>the</w:t>
      </w:r>
      <w:r w:rsidRPr="00B86337">
        <w:t xml:space="preserve"> advantage of known deterministic reformulation</w:t>
      </w:r>
      <w:r>
        <w:t>s</w:t>
      </w:r>
      <w:r w:rsidRPr="00B86337">
        <w:t>.</w:t>
      </w:r>
      <w:r>
        <w:t xml:space="preserve"> </w:t>
      </w:r>
      <w:r w:rsidRPr="00B86337">
        <w:t xml:space="preserve">Additionally, </w:t>
      </w:r>
      <w:r>
        <w:t xml:space="preserve">to overcome the complexity of </w:t>
      </w:r>
      <w:r w:rsidRPr="00B86337">
        <w:t>the proposed multi-level models</w:t>
      </w:r>
      <w:r>
        <w:t xml:space="preserve"> that</w:t>
      </w:r>
      <w:r w:rsidRPr="00B86337">
        <w:t xml:space="preserve"> cannot be solved directly using off-the-shelf </w:t>
      </w:r>
      <w:r>
        <w:t>solvers</w:t>
      </w:r>
      <w:r w:rsidRPr="00B86337">
        <w:t xml:space="preserve">, we first reduce the multi-level optimization to </w:t>
      </w:r>
      <w:r>
        <w:t xml:space="preserve">a </w:t>
      </w:r>
      <w:r w:rsidRPr="00B86337">
        <w:t>bi-level</w:t>
      </w:r>
      <w:r>
        <w:t xml:space="preserve"> problem</w:t>
      </w:r>
      <w:r w:rsidRPr="00B86337">
        <w:t xml:space="preserve">, and then customize the column-and-cut (C&amp;CG) algorithm [9] </w:t>
      </w:r>
      <w:r>
        <w:t xml:space="preserve">allowing for solving the original problem iteratively. </w:t>
      </w:r>
    </w:p>
    <w:p w14:paraId="48EC926C" w14:textId="77777777" w:rsidR="009C3713" w:rsidRPr="00A247C7" w:rsidRDefault="009C3713" w:rsidP="00FF1DC3">
      <w:pPr>
        <w:pStyle w:val="BodyText2"/>
        <w:spacing w:after="200"/>
        <w:ind w:firstLine="720"/>
      </w:pPr>
    </w:p>
    <w:p w14:paraId="6681CF02" w14:textId="77777777" w:rsidR="00FF1DC3" w:rsidRPr="00D767DA" w:rsidRDefault="00FF1DC3" w:rsidP="00FF1DC3">
      <w:pPr>
        <w:pStyle w:val="Heading2"/>
        <w:rPr>
          <w:i w:val="0"/>
          <w:sz w:val="24"/>
          <w:szCs w:val="24"/>
        </w:rPr>
      </w:pPr>
      <w:r w:rsidRPr="00D767DA">
        <w:rPr>
          <w:i w:val="0"/>
          <w:sz w:val="24"/>
          <w:szCs w:val="24"/>
        </w:rPr>
        <w:lastRenderedPageBreak/>
        <w:t>Results</w:t>
      </w:r>
    </w:p>
    <w:p w14:paraId="1CEF7930" w14:textId="528BB67D" w:rsidR="00FF1DC3" w:rsidRDefault="00FF1DC3" w:rsidP="00FF1DC3">
      <w:pPr>
        <w:pStyle w:val="BodyText2"/>
        <w:spacing w:after="200"/>
      </w:pPr>
      <w:r>
        <w:t>The case study solves the information-aware and -unaware models using the NYISO and Manhattan test systems with the NEM, value-stack, and DLMP re</w:t>
      </w:r>
      <w:r w:rsidR="0015285F">
        <w:t>m</w:t>
      </w:r>
      <w:r>
        <w:t>u</w:t>
      </w:r>
      <w:r w:rsidR="0015285F">
        <w:t>n</w:t>
      </w:r>
      <w:r>
        <w:t xml:space="preserve">eration policies. In both models, the DLMP policy attains the greatest social welfare followed by the value-stack and NEM. A better ability to accurately predict the remuneration value results in greater social welfare regardless of the policy chosen, because it reduces risk exposure of DER aggregators and avoids underestimating its revenue, while optimizing the investment decisions. </w:t>
      </w:r>
    </w:p>
    <w:p w14:paraId="2A08EAC6" w14:textId="6CDC4553" w:rsidR="00FF1DC3" w:rsidRDefault="00FF1DC3" w:rsidP="00FF1DC3">
      <w:pPr>
        <w:pStyle w:val="BodyText2"/>
        <w:spacing w:after="200"/>
      </w:pPr>
      <w:r>
        <w:t xml:space="preserve">Also, to </w:t>
      </w:r>
      <w:proofErr w:type="spellStart"/>
      <w:r>
        <w:t>robustify</w:t>
      </w:r>
      <w:proofErr w:type="spellEnd"/>
      <w:r>
        <w:t xml:space="preserve"> the investment decisions against the uncertainty, the DER aggregator secures a greater profit in the information-unaware model, through the risk-informed optimization even if it has the same expectation of the DER tariff compared to the information-aware model. Moreover, a more conservative value of risk tolerance increases the profit attained by DER aggregators, resulting in a decreased social welfare while achieving the same RPS goal.</w:t>
      </w:r>
    </w:p>
    <w:p w14:paraId="595C64BB" w14:textId="77777777" w:rsidR="00325B6F" w:rsidRPr="00325B6F" w:rsidRDefault="00325B6F" w:rsidP="00FF1DC3">
      <w:pPr>
        <w:pStyle w:val="BodyText2"/>
        <w:spacing w:after="200"/>
        <w:rPr>
          <w:sz w:val="15"/>
          <w:szCs w:val="15"/>
        </w:rPr>
      </w:pPr>
    </w:p>
    <w:p w14:paraId="33237A95" w14:textId="77777777" w:rsidR="00FF1DC3" w:rsidRPr="00D767DA" w:rsidRDefault="00FF1DC3" w:rsidP="00FF1DC3">
      <w:pPr>
        <w:pStyle w:val="Heading2"/>
        <w:jc w:val="both"/>
        <w:rPr>
          <w:i w:val="0"/>
          <w:sz w:val="24"/>
          <w:szCs w:val="24"/>
        </w:rPr>
      </w:pPr>
      <w:r w:rsidRPr="00D767DA">
        <w:rPr>
          <w:i w:val="0"/>
          <w:sz w:val="24"/>
          <w:szCs w:val="24"/>
        </w:rPr>
        <w:t>Conclusions</w:t>
      </w:r>
    </w:p>
    <w:p w14:paraId="732278FF" w14:textId="77777777" w:rsidR="00FF1DC3" w:rsidRPr="00D767DA" w:rsidRDefault="00FF1DC3" w:rsidP="00FF1DC3">
      <w:pPr>
        <w:pStyle w:val="BodyText2"/>
        <w:spacing w:after="200"/>
        <w:rPr>
          <w:i/>
        </w:rPr>
      </w:pPr>
      <w:r w:rsidRPr="0084325B">
        <w:t>This paper propose</w:t>
      </w:r>
      <w:r>
        <w:t>s</w:t>
      </w:r>
      <w:r w:rsidRPr="0084325B">
        <w:t xml:space="preserve"> information-aware</w:t>
      </w:r>
      <w:r>
        <w:t xml:space="preserve"> and un</w:t>
      </w:r>
      <w:r w:rsidRPr="0084325B">
        <w:t xml:space="preserve">aware decision-making support tools for policymakers to investigate the effects of information-awareness </w:t>
      </w:r>
      <w:r>
        <w:t xml:space="preserve">of DER aggregators </w:t>
      </w:r>
      <w:r w:rsidRPr="0084325B">
        <w:t>on DER remuneration policies. These tools facilitate policymaking on consumer and DER tariffs as well as RES incentives under different RPS goals. A multi-level optimization structure is adopted for both the information-aware</w:t>
      </w:r>
      <w:r>
        <w:t xml:space="preserve"> and -</w:t>
      </w:r>
      <w:r w:rsidRPr="0084325B">
        <w:t xml:space="preserve">unaware models to capture interactions among multiple stakeholders within the market while coherent risk measure-based optimization is introduced for the information-unaware model. The numerical analyses on the NYISO-Manhattan test systems reveal that the DLMP-based remuneration achieves the highest social welfare among the three policies under all RPS goals simulated. Moreover, we present the quantified value of information-awareness on the DER remuneration tariff for the low, medium, high probabilistic perception scenarios. </w:t>
      </w:r>
    </w:p>
    <w:p w14:paraId="0C88CACC" w14:textId="77777777" w:rsidR="00FF1DC3" w:rsidRPr="00A247C7" w:rsidRDefault="00FF1DC3" w:rsidP="00FF1DC3">
      <w:pPr>
        <w:pStyle w:val="Heading2"/>
        <w:rPr>
          <w:rFonts w:ascii="Times New Roman" w:hAnsi="Times New Roman"/>
          <w:i w:val="0"/>
          <w:sz w:val="20"/>
        </w:rPr>
      </w:pPr>
    </w:p>
    <w:p w14:paraId="76D8A6D5" w14:textId="77777777" w:rsidR="00FF1DC3" w:rsidRPr="00D767DA" w:rsidRDefault="00FF1DC3" w:rsidP="00FF1DC3">
      <w:pPr>
        <w:pStyle w:val="Heading2"/>
        <w:rPr>
          <w:i w:val="0"/>
          <w:sz w:val="24"/>
          <w:szCs w:val="24"/>
        </w:rPr>
      </w:pPr>
      <w:r w:rsidRPr="00D767DA">
        <w:rPr>
          <w:i w:val="0"/>
          <w:sz w:val="24"/>
          <w:szCs w:val="24"/>
        </w:rPr>
        <w:t>References</w:t>
      </w:r>
    </w:p>
    <w:p w14:paraId="70853874" w14:textId="77777777" w:rsidR="00FF1DC3" w:rsidRPr="009E33DC" w:rsidRDefault="00FF1DC3" w:rsidP="00FF1DC3">
      <w:pPr>
        <w:pStyle w:val="BodyText2"/>
        <w:spacing w:after="200"/>
      </w:pPr>
      <w:bookmarkStart w:id="0" w:name="ref-NYSPSC_VDER"/>
      <w:bookmarkStart w:id="1" w:name="refs"/>
      <w:r w:rsidRPr="009E33DC">
        <w:t xml:space="preserve">[1] </w:t>
      </w:r>
      <w:r w:rsidRPr="009E33DC">
        <w:tab/>
        <w:t>NYS Public Service Commission, “Order Regarding Value Stack Compensation.” 2019.</w:t>
      </w:r>
    </w:p>
    <w:p w14:paraId="41D3BCBE" w14:textId="77777777" w:rsidR="00FF1DC3" w:rsidRPr="009E33DC" w:rsidRDefault="00FF1DC3" w:rsidP="00FF1DC3">
      <w:pPr>
        <w:pStyle w:val="BodyText2"/>
        <w:spacing w:after="200"/>
      </w:pPr>
      <w:bookmarkStart w:id="2" w:name="ref-caramanis2016co"/>
      <w:bookmarkEnd w:id="0"/>
      <w:r w:rsidRPr="009E33DC">
        <w:t xml:space="preserve">[2] </w:t>
      </w:r>
      <w:r w:rsidRPr="009E33DC">
        <w:tab/>
        <w:t xml:space="preserve">M. </w:t>
      </w:r>
      <w:proofErr w:type="spellStart"/>
      <w:r w:rsidRPr="009E33DC">
        <w:t>Caramanis</w:t>
      </w:r>
      <w:proofErr w:type="spellEnd"/>
      <w:r w:rsidRPr="009E33DC">
        <w:t xml:space="preserve">, E. </w:t>
      </w:r>
      <w:proofErr w:type="spellStart"/>
      <w:r w:rsidRPr="009E33DC">
        <w:t>Ntakou</w:t>
      </w:r>
      <w:proofErr w:type="spellEnd"/>
      <w:r w:rsidRPr="009E33DC">
        <w:t xml:space="preserve">, W. W. Hogan, A. </w:t>
      </w:r>
      <w:proofErr w:type="spellStart"/>
      <w:r w:rsidRPr="009E33DC">
        <w:t>Chakrabortty</w:t>
      </w:r>
      <w:proofErr w:type="spellEnd"/>
      <w:r w:rsidRPr="009E33DC">
        <w:t xml:space="preserve">, and J. Schoene, “Co-optimization of power and reserves in dynamic </w:t>
      </w:r>
      <w:proofErr w:type="spellStart"/>
      <w:r w:rsidRPr="009E33DC">
        <w:t>t&amp;d</w:t>
      </w:r>
      <w:proofErr w:type="spellEnd"/>
      <w:r w:rsidRPr="009E33DC">
        <w:t xml:space="preserve"> power markets with </w:t>
      </w:r>
      <w:proofErr w:type="spellStart"/>
      <w:r w:rsidRPr="009E33DC">
        <w:t>nondispatchable</w:t>
      </w:r>
      <w:proofErr w:type="spellEnd"/>
      <w:r w:rsidRPr="009E33DC">
        <w:t xml:space="preserve"> renewable generation and distributed energy resources,” </w:t>
      </w:r>
      <w:r w:rsidRPr="009E33DC">
        <w:rPr>
          <w:i/>
          <w:iCs/>
        </w:rPr>
        <w:t>Proceedings of the IEEE</w:t>
      </w:r>
      <w:r w:rsidRPr="009E33DC">
        <w:t>, vol. 104, no. 4, pp. 807–836, 2016.</w:t>
      </w:r>
    </w:p>
    <w:p w14:paraId="72FC8F93" w14:textId="77777777" w:rsidR="00FF1DC3" w:rsidRPr="009E33DC" w:rsidRDefault="00FF1DC3" w:rsidP="00FF1DC3">
      <w:pPr>
        <w:pStyle w:val="BodyText2"/>
        <w:spacing w:after="200"/>
      </w:pPr>
      <w:bookmarkStart w:id="3" w:name="ref-papavasiliou2017analysis"/>
      <w:bookmarkEnd w:id="2"/>
      <w:r w:rsidRPr="009E33DC">
        <w:t xml:space="preserve">[3] </w:t>
      </w:r>
      <w:r w:rsidRPr="009E33DC">
        <w:tab/>
        <w:t xml:space="preserve">A. </w:t>
      </w:r>
      <w:proofErr w:type="spellStart"/>
      <w:r w:rsidRPr="009E33DC">
        <w:t>Papavasiliou</w:t>
      </w:r>
      <w:proofErr w:type="spellEnd"/>
      <w:r w:rsidRPr="009E33DC">
        <w:t xml:space="preserve">, “Analysis of distribution locational marginal prices,” </w:t>
      </w:r>
      <w:r w:rsidRPr="009E33DC">
        <w:rPr>
          <w:i/>
          <w:iCs/>
        </w:rPr>
        <w:t>IEEE Transactions on Smart Grid</w:t>
      </w:r>
      <w:r w:rsidRPr="009E33DC">
        <w:t>, vol. 9, no. 5, pp. 4872–4882, 2017.</w:t>
      </w:r>
    </w:p>
    <w:p w14:paraId="5E1CF057" w14:textId="77777777" w:rsidR="00FF1DC3" w:rsidRPr="009E33DC" w:rsidRDefault="00FF1DC3" w:rsidP="00FF1DC3">
      <w:pPr>
        <w:pStyle w:val="BodyText2"/>
        <w:spacing w:after="200"/>
      </w:pPr>
      <w:bookmarkStart w:id="4" w:name="ref-kim2020strategic"/>
      <w:bookmarkEnd w:id="3"/>
      <w:r w:rsidRPr="009E33DC">
        <w:t xml:space="preserve">[4] </w:t>
      </w:r>
      <w:r w:rsidRPr="009E33DC">
        <w:tab/>
        <w:t xml:space="preserve">J. Kim, S. </w:t>
      </w:r>
      <w:proofErr w:type="spellStart"/>
      <w:r w:rsidRPr="009E33DC">
        <w:t>Bialek</w:t>
      </w:r>
      <w:proofErr w:type="spellEnd"/>
      <w:r w:rsidRPr="009E33DC">
        <w:t xml:space="preserve">, B. </w:t>
      </w:r>
      <w:proofErr w:type="spellStart"/>
      <w:r w:rsidRPr="009E33DC">
        <w:t>Unel</w:t>
      </w:r>
      <w:proofErr w:type="spellEnd"/>
      <w:r w:rsidRPr="009E33DC">
        <w:t xml:space="preserve">, and Y. </w:t>
      </w:r>
      <w:proofErr w:type="spellStart"/>
      <w:r w:rsidRPr="009E33DC">
        <w:t>Dvorkin</w:t>
      </w:r>
      <w:proofErr w:type="spellEnd"/>
      <w:r w:rsidRPr="009E33DC">
        <w:t xml:space="preserve">, “Strategic policymaking for implementing renewable portfolio standards: A tri-level optimization approach,” </w:t>
      </w:r>
      <w:proofErr w:type="spellStart"/>
      <w:r w:rsidRPr="009E33DC">
        <w:rPr>
          <w:i/>
          <w:iCs/>
        </w:rPr>
        <w:t>arXiv</w:t>
      </w:r>
      <w:proofErr w:type="spellEnd"/>
      <w:r w:rsidRPr="009E33DC">
        <w:rPr>
          <w:i/>
          <w:iCs/>
        </w:rPr>
        <w:t xml:space="preserve"> preprint arXiv:2009.01336</w:t>
      </w:r>
      <w:r w:rsidRPr="009E33DC">
        <w:t>, 2020.</w:t>
      </w:r>
    </w:p>
    <w:p w14:paraId="173D0FDA" w14:textId="77777777" w:rsidR="00FF1DC3" w:rsidRPr="009E33DC" w:rsidRDefault="00FF1DC3" w:rsidP="00FF1DC3">
      <w:pPr>
        <w:pStyle w:val="BodyText2"/>
        <w:spacing w:after="200"/>
      </w:pPr>
      <w:bookmarkStart w:id="5" w:name="ref-rockafellar2007coherent"/>
      <w:bookmarkEnd w:id="4"/>
      <w:r w:rsidRPr="009E33DC">
        <w:t xml:space="preserve">[5] </w:t>
      </w:r>
      <w:r w:rsidRPr="009E33DC">
        <w:tab/>
        <w:t xml:space="preserve">R. T. </w:t>
      </w:r>
      <w:proofErr w:type="spellStart"/>
      <w:r w:rsidRPr="009E33DC">
        <w:t>Rockafellar</w:t>
      </w:r>
      <w:proofErr w:type="spellEnd"/>
      <w:r w:rsidRPr="009E33DC">
        <w:t xml:space="preserve">, “Coherent approaches to risk in optimization under uncertainty,” in </w:t>
      </w:r>
      <w:r w:rsidRPr="009E33DC">
        <w:rPr>
          <w:i/>
          <w:iCs/>
        </w:rPr>
        <w:t>OR tools and applications: Glimpses of future technologies</w:t>
      </w:r>
      <w:r w:rsidRPr="009E33DC">
        <w:t>, Informs, 2007, pp. 38–61.</w:t>
      </w:r>
    </w:p>
    <w:p w14:paraId="1C95D44C" w14:textId="77777777" w:rsidR="00FF1DC3" w:rsidRPr="009E33DC" w:rsidRDefault="00FF1DC3" w:rsidP="00FF1DC3">
      <w:pPr>
        <w:pStyle w:val="BodyText2"/>
        <w:spacing w:after="200"/>
      </w:pPr>
      <w:bookmarkStart w:id="6" w:name="ref-ralph2011pricing"/>
      <w:bookmarkEnd w:id="5"/>
      <w:r w:rsidRPr="009E33DC">
        <w:t xml:space="preserve">[6] </w:t>
      </w:r>
      <w:r w:rsidRPr="009E33DC">
        <w:tab/>
        <w:t xml:space="preserve">D. Ralph and Y. </w:t>
      </w:r>
      <w:proofErr w:type="spellStart"/>
      <w:r w:rsidRPr="009E33DC">
        <w:t>Smeers</w:t>
      </w:r>
      <w:proofErr w:type="spellEnd"/>
      <w:r w:rsidRPr="009E33DC">
        <w:t xml:space="preserve">, “Pricing risk under risk measures: An introduction to stochastic-endogenous equilibria,” </w:t>
      </w:r>
      <w:r w:rsidRPr="009E33DC">
        <w:rPr>
          <w:i/>
          <w:iCs/>
        </w:rPr>
        <w:t>Available at SSRN 1903897</w:t>
      </w:r>
      <w:r w:rsidRPr="009E33DC">
        <w:t>, 2011.</w:t>
      </w:r>
    </w:p>
    <w:p w14:paraId="3AFE20A1" w14:textId="77777777" w:rsidR="00FF1DC3" w:rsidRPr="009E33DC" w:rsidRDefault="00FF1DC3" w:rsidP="00FF1DC3">
      <w:pPr>
        <w:pStyle w:val="BodyText2"/>
        <w:spacing w:after="200"/>
      </w:pPr>
      <w:bookmarkStart w:id="7" w:name="ref-hans2019risk"/>
      <w:bookmarkEnd w:id="6"/>
      <w:r w:rsidRPr="009E33DC">
        <w:t xml:space="preserve">[7] </w:t>
      </w:r>
      <w:r w:rsidRPr="009E33DC">
        <w:tab/>
        <w:t xml:space="preserve">C. A. Hans, P. </w:t>
      </w:r>
      <w:proofErr w:type="spellStart"/>
      <w:r w:rsidRPr="009E33DC">
        <w:t>Sopasakis</w:t>
      </w:r>
      <w:proofErr w:type="spellEnd"/>
      <w:r w:rsidRPr="009E33DC">
        <w:t xml:space="preserve">, J. </w:t>
      </w:r>
      <w:proofErr w:type="spellStart"/>
      <w:r w:rsidRPr="009E33DC">
        <w:t>Raisch</w:t>
      </w:r>
      <w:proofErr w:type="spellEnd"/>
      <w:r w:rsidRPr="009E33DC">
        <w:t xml:space="preserve">, C. </w:t>
      </w:r>
      <w:proofErr w:type="spellStart"/>
      <w:r w:rsidRPr="009E33DC">
        <w:t>Reincke-Collon</w:t>
      </w:r>
      <w:proofErr w:type="spellEnd"/>
      <w:r w:rsidRPr="009E33DC">
        <w:t xml:space="preserve">, and P. </w:t>
      </w:r>
      <w:proofErr w:type="spellStart"/>
      <w:r w:rsidRPr="009E33DC">
        <w:t>Patrinos</w:t>
      </w:r>
      <w:proofErr w:type="spellEnd"/>
      <w:r w:rsidRPr="009E33DC">
        <w:t xml:space="preserve">, “Risk-averse model predictive operation control of islanded microgrids,” </w:t>
      </w:r>
      <w:r w:rsidRPr="009E33DC">
        <w:rPr>
          <w:i/>
          <w:iCs/>
        </w:rPr>
        <w:t>IEEE Transactions on Control Systems Technology</w:t>
      </w:r>
      <w:r w:rsidRPr="009E33DC">
        <w:t>, vol. 28, no. 6, pp. 2136–2151, 2019.</w:t>
      </w:r>
    </w:p>
    <w:p w14:paraId="4236A318" w14:textId="77777777" w:rsidR="00FF1DC3" w:rsidRPr="009E33DC" w:rsidRDefault="00FF1DC3" w:rsidP="00FF1DC3">
      <w:pPr>
        <w:pStyle w:val="BodyText2"/>
        <w:spacing w:after="200"/>
      </w:pPr>
      <w:bookmarkStart w:id="8" w:name="ref-kazempour2016effects"/>
      <w:bookmarkEnd w:id="7"/>
      <w:r w:rsidRPr="009E33DC">
        <w:t xml:space="preserve">[8] </w:t>
      </w:r>
      <w:r w:rsidRPr="009E33DC">
        <w:tab/>
        <w:t xml:space="preserve">S. J. </w:t>
      </w:r>
      <w:proofErr w:type="spellStart"/>
      <w:r w:rsidRPr="009E33DC">
        <w:t>Kazempour</w:t>
      </w:r>
      <w:proofErr w:type="spellEnd"/>
      <w:r w:rsidRPr="009E33DC">
        <w:t xml:space="preserve"> and P. Pinson, “Effects of risk aversion on market outcomes: A stochastic two-stage equilibrium model,” in </w:t>
      </w:r>
      <w:r w:rsidRPr="009E33DC">
        <w:rPr>
          <w:i/>
          <w:iCs/>
        </w:rPr>
        <w:t>2016 international conference on probabilistic methods applied to power systems (PMAPS)</w:t>
      </w:r>
      <w:r w:rsidRPr="009E33DC">
        <w:t>, 2016, pp. 1–6.</w:t>
      </w:r>
    </w:p>
    <w:p w14:paraId="451BAB0E" w14:textId="77777777" w:rsidR="00FF1DC3" w:rsidRDefault="00FF1DC3" w:rsidP="00FF1DC3">
      <w:pPr>
        <w:pStyle w:val="BodyText2"/>
        <w:spacing w:after="200"/>
      </w:pPr>
      <w:bookmarkStart w:id="9" w:name="ref-zeng2013solving"/>
      <w:bookmarkEnd w:id="8"/>
      <w:r w:rsidRPr="009E33DC">
        <w:t xml:space="preserve">[9] </w:t>
      </w:r>
      <w:r w:rsidRPr="009E33DC">
        <w:tab/>
        <w:t xml:space="preserve">B. Zeng and L. Zhao, “Solving two-stage robust optimization problems using a column-and-constraint generation method,” </w:t>
      </w:r>
      <w:r w:rsidRPr="009E33DC">
        <w:rPr>
          <w:i/>
          <w:iCs/>
        </w:rPr>
        <w:t>Operations Research Letters</w:t>
      </w:r>
      <w:r w:rsidRPr="009E33DC">
        <w:t>, vol. 41, no. 5, pp. 457–461, 2013.</w:t>
      </w:r>
      <w:bookmarkEnd w:id="1"/>
      <w:bookmarkEnd w:id="9"/>
    </w:p>
    <w:p w14:paraId="517E2209" w14:textId="77777777" w:rsidR="00832571" w:rsidRDefault="00832571"/>
    <w:sectPr w:rsidR="00832571" w:rsidSect="00FF1DC3">
      <w:headerReference w:type="first" r:id="rId4"/>
      <w:pgSz w:w="12240" w:h="15840"/>
      <w:pgMar w:top="720" w:right="1440" w:bottom="72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6BAAA" w14:textId="77777777" w:rsidR="005A5112" w:rsidRDefault="00C7168E" w:rsidP="00DC69F1">
    <w:pPr>
      <w:pStyle w:val="Header"/>
      <w:tabs>
        <w:tab w:val="clear" w:pos="5400"/>
        <w:tab w:val="center" w:pos="851"/>
      </w:tabs>
      <w:jc w:val="right"/>
    </w:pPr>
    <w:r>
      <w:rPr>
        <w:lang w:val="en-US"/>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DC3"/>
    <w:rsid w:val="00044BE0"/>
    <w:rsid w:val="000551BA"/>
    <w:rsid w:val="000F0BE1"/>
    <w:rsid w:val="0015285F"/>
    <w:rsid w:val="00325B6F"/>
    <w:rsid w:val="004640A4"/>
    <w:rsid w:val="005E1C53"/>
    <w:rsid w:val="007C2600"/>
    <w:rsid w:val="00832571"/>
    <w:rsid w:val="009C3713"/>
    <w:rsid w:val="00A0370D"/>
    <w:rsid w:val="00A723C4"/>
    <w:rsid w:val="00A9448C"/>
    <w:rsid w:val="00C7168E"/>
    <w:rsid w:val="00D5668E"/>
    <w:rsid w:val="00FF1DC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B7FD86C"/>
  <w15:chartTrackingRefBased/>
  <w15:docId w15:val="{54E7DE13-6B55-9746-8839-8DE43AB62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DC3"/>
    <w:rPr>
      <w:rFonts w:ascii="Times New Roman" w:hAnsi="Times New Roman" w:cs="Times New Roman"/>
      <w:sz w:val="20"/>
      <w:szCs w:val="20"/>
      <w:lang w:val="en-GB" w:eastAsia="en-US"/>
    </w:rPr>
  </w:style>
  <w:style w:type="paragraph" w:styleId="Heading2">
    <w:name w:val="heading 2"/>
    <w:basedOn w:val="Normal"/>
    <w:next w:val="Normal"/>
    <w:link w:val="Heading2Char"/>
    <w:qFormat/>
    <w:rsid w:val="00FF1DC3"/>
    <w:pPr>
      <w:keepNext/>
      <w:spacing w:before="240" w:after="60"/>
      <w:outlineLvl w:val="1"/>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F1DC3"/>
    <w:rPr>
      <w:rFonts w:ascii="Arial" w:hAnsi="Arial" w:cs="Times New Roman"/>
      <w:b/>
      <w:i/>
      <w:sz w:val="22"/>
      <w:szCs w:val="20"/>
      <w:lang w:val="en-GB" w:eastAsia="en-US"/>
    </w:rPr>
  </w:style>
  <w:style w:type="paragraph" w:styleId="Header">
    <w:name w:val="header"/>
    <w:basedOn w:val="Normal"/>
    <w:link w:val="HeaderChar"/>
    <w:rsid w:val="00FF1DC3"/>
    <w:pPr>
      <w:tabs>
        <w:tab w:val="center" w:pos="5400"/>
        <w:tab w:val="right" w:pos="10800"/>
      </w:tabs>
    </w:pPr>
    <w:rPr>
      <w:rFonts w:ascii="Arial" w:hAnsi="Arial"/>
      <w:sz w:val="16"/>
    </w:rPr>
  </w:style>
  <w:style w:type="character" w:customStyle="1" w:styleId="HeaderChar">
    <w:name w:val="Header Char"/>
    <w:basedOn w:val="DefaultParagraphFont"/>
    <w:link w:val="Header"/>
    <w:rsid w:val="00FF1DC3"/>
    <w:rPr>
      <w:rFonts w:ascii="Arial" w:hAnsi="Arial" w:cs="Times New Roman"/>
      <w:sz w:val="16"/>
      <w:szCs w:val="20"/>
      <w:lang w:val="en-GB" w:eastAsia="en-US"/>
    </w:rPr>
  </w:style>
  <w:style w:type="paragraph" w:customStyle="1" w:styleId="copyright">
    <w:name w:val="copyright"/>
    <w:basedOn w:val="Normal"/>
    <w:rsid w:val="00FF1DC3"/>
    <w:pPr>
      <w:spacing w:line="140" w:lineRule="exact"/>
      <w:jc w:val="both"/>
    </w:pPr>
    <w:rPr>
      <w:rFonts w:ascii="Arial" w:hAnsi="Arial"/>
      <w:sz w:val="12"/>
    </w:rPr>
  </w:style>
  <w:style w:type="paragraph" w:styleId="BodyText">
    <w:name w:val="Body Text"/>
    <w:basedOn w:val="Normal"/>
    <w:link w:val="BodyTextChar"/>
    <w:rsid w:val="00FF1DC3"/>
    <w:rPr>
      <w:sz w:val="22"/>
    </w:rPr>
  </w:style>
  <w:style w:type="character" w:customStyle="1" w:styleId="BodyTextChar">
    <w:name w:val="Body Text Char"/>
    <w:basedOn w:val="DefaultParagraphFont"/>
    <w:link w:val="BodyText"/>
    <w:rsid w:val="00FF1DC3"/>
    <w:rPr>
      <w:rFonts w:ascii="Times New Roman" w:hAnsi="Times New Roman" w:cs="Times New Roman"/>
      <w:sz w:val="22"/>
      <w:szCs w:val="20"/>
      <w:lang w:val="en-GB" w:eastAsia="en-US"/>
    </w:rPr>
  </w:style>
  <w:style w:type="paragraph" w:styleId="BodyText2">
    <w:name w:val="Body Text 2"/>
    <w:basedOn w:val="Normal"/>
    <w:link w:val="BodyText2Char"/>
    <w:rsid w:val="00FF1DC3"/>
    <w:pPr>
      <w:ind w:firstLine="360"/>
      <w:jc w:val="both"/>
    </w:pPr>
  </w:style>
  <w:style w:type="character" w:customStyle="1" w:styleId="BodyText2Char">
    <w:name w:val="Body Text 2 Char"/>
    <w:basedOn w:val="DefaultParagraphFont"/>
    <w:link w:val="BodyText2"/>
    <w:rsid w:val="00FF1DC3"/>
    <w:rPr>
      <w:rFonts w:ascii="Times New Roman" w:hAnsi="Times New Roman" w:cs="Times New Roman"/>
      <w:sz w:val="20"/>
      <w:szCs w:val="20"/>
      <w:lang w:val="en-GB" w:eastAsia="en-US"/>
    </w:rPr>
  </w:style>
  <w:style w:type="character" w:styleId="CommentReference">
    <w:name w:val="annotation reference"/>
    <w:basedOn w:val="DefaultParagraphFont"/>
    <w:semiHidden/>
    <w:unhideWhenUsed/>
    <w:rsid w:val="00FF1DC3"/>
    <w:rPr>
      <w:sz w:val="16"/>
      <w:szCs w:val="16"/>
    </w:rPr>
  </w:style>
  <w:style w:type="paragraph" w:styleId="CommentText">
    <w:name w:val="annotation text"/>
    <w:basedOn w:val="Normal"/>
    <w:link w:val="CommentTextChar"/>
    <w:semiHidden/>
    <w:unhideWhenUsed/>
    <w:rsid w:val="00FF1DC3"/>
  </w:style>
  <w:style w:type="character" w:customStyle="1" w:styleId="CommentTextChar">
    <w:name w:val="Comment Text Char"/>
    <w:basedOn w:val="DefaultParagraphFont"/>
    <w:link w:val="CommentText"/>
    <w:semiHidden/>
    <w:rsid w:val="00FF1DC3"/>
    <w:rPr>
      <w:rFonts w:ascii="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Jip Kim</dc:creator>
  <cp:keywords/>
  <dc:description/>
  <cp:lastModifiedBy>Jip Kim</cp:lastModifiedBy>
  <cp:revision>2</cp:revision>
  <cp:lastPrinted>2021-03-30T17:57:00Z</cp:lastPrinted>
  <dcterms:created xsi:type="dcterms:W3CDTF">2021-03-30T18:02:00Z</dcterms:created>
  <dcterms:modified xsi:type="dcterms:W3CDTF">2021-03-30T18:02:00Z</dcterms:modified>
</cp:coreProperties>
</file>