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CAE0"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61ADAC7" w14:textId="15A37107" w:rsidR="00DC69F1" w:rsidRDefault="009C255B" w:rsidP="00DC69F1">
      <w:pPr>
        <w:pStyle w:val="BodyText"/>
        <w:framePr w:w="10800" w:h="2142" w:hRule="exact" w:hSpace="187" w:wrap="auto" w:vAnchor="page" w:hAnchor="page" w:x="714" w:y="1085"/>
        <w:rPr>
          <w:b/>
          <w:sz w:val="28"/>
          <w:szCs w:val="28"/>
        </w:rPr>
      </w:pPr>
      <w:r w:rsidRPr="009C255B">
        <w:rPr>
          <w:b/>
          <w:i/>
          <w:caps/>
          <w:sz w:val="28"/>
          <w:szCs w:val="28"/>
        </w:rPr>
        <w:t>Technoeconomic Analysis of Indonesia Generation Expansion to Achieve Energy and Economic Sustainability</w:t>
      </w:r>
    </w:p>
    <w:p w14:paraId="3F47D13F" w14:textId="484ACA92" w:rsidR="00DC69F1" w:rsidRPr="00D767DA" w:rsidRDefault="00DC69F1" w:rsidP="00DC69F1">
      <w:pPr>
        <w:pStyle w:val="BodyText2"/>
        <w:framePr w:w="10800" w:h="2142" w:hRule="exact" w:hSpace="187" w:wrap="auto" w:vAnchor="page" w:hAnchor="page" w:x="714" w:y="1085"/>
        <w:spacing w:after="200"/>
        <w:rPr>
          <w:i/>
        </w:rPr>
      </w:pPr>
    </w:p>
    <w:p w14:paraId="624FEA60" w14:textId="467688C1" w:rsidR="00DC69F1" w:rsidRPr="00632C1B" w:rsidRDefault="009C255B" w:rsidP="00DC69F1">
      <w:pPr>
        <w:pStyle w:val="BodyText"/>
        <w:framePr w:w="10800" w:h="2142" w:hRule="exact" w:hSpace="187" w:wrap="auto" w:vAnchor="page" w:hAnchor="page" w:x="714" w:y="1085"/>
        <w:jc w:val="right"/>
        <w:rPr>
          <w:sz w:val="20"/>
        </w:rPr>
      </w:pPr>
      <w:r>
        <w:rPr>
          <w:sz w:val="20"/>
        </w:rPr>
        <w:t xml:space="preserve">Satria </w:t>
      </w:r>
      <w:r w:rsidRPr="00632C1B">
        <w:rPr>
          <w:sz w:val="20"/>
        </w:rPr>
        <w:t>Putra Kanugrahan</w:t>
      </w:r>
      <w:r w:rsidR="00DC69F1" w:rsidRPr="00632C1B">
        <w:rPr>
          <w:sz w:val="20"/>
        </w:rPr>
        <w:t xml:space="preserve">, </w:t>
      </w:r>
      <w:r w:rsidR="00056C94" w:rsidRPr="00632C1B">
        <w:rPr>
          <w:sz w:val="20"/>
        </w:rPr>
        <w:t>Bandung Institute of Technology</w:t>
      </w:r>
      <w:r w:rsidR="00632C1B">
        <w:rPr>
          <w:sz w:val="20"/>
        </w:rPr>
        <w:t xml:space="preserve"> and PT. PLN (Persero)</w:t>
      </w:r>
      <w:r w:rsidR="00DC69F1" w:rsidRPr="00632C1B">
        <w:rPr>
          <w:sz w:val="20"/>
        </w:rPr>
        <w:t xml:space="preserve">, </w:t>
      </w:r>
      <w:r w:rsidR="00056C94" w:rsidRPr="00632C1B">
        <w:rPr>
          <w:sz w:val="20"/>
        </w:rPr>
        <w:t>+6281519506905</w:t>
      </w:r>
      <w:r w:rsidR="00DC69F1" w:rsidRPr="00632C1B">
        <w:rPr>
          <w:sz w:val="20"/>
        </w:rPr>
        <w:t>,</w:t>
      </w:r>
      <w:r w:rsidR="00056C94" w:rsidRPr="00632C1B">
        <w:rPr>
          <w:sz w:val="20"/>
        </w:rPr>
        <w:t xml:space="preserve"> satria_putra@sbm.itb.ac.id</w:t>
      </w:r>
      <w:r w:rsidR="00DC69F1" w:rsidRPr="00632C1B">
        <w:rPr>
          <w:sz w:val="20"/>
        </w:rPr>
        <w:t xml:space="preserve"> </w:t>
      </w:r>
    </w:p>
    <w:p w14:paraId="2EDF3F64" w14:textId="5DCDD91C" w:rsidR="00DC69F1" w:rsidRPr="00657E10" w:rsidRDefault="00657E10" w:rsidP="00657E10">
      <w:pPr>
        <w:pStyle w:val="BodyText"/>
        <w:framePr w:w="10800" w:h="2142" w:hRule="exact" w:hSpace="187" w:wrap="auto" w:vAnchor="page" w:hAnchor="page" w:x="714" w:y="1085"/>
        <w:jc w:val="right"/>
        <w:rPr>
          <w:sz w:val="20"/>
        </w:rPr>
      </w:pPr>
      <w:proofErr w:type="spellStart"/>
      <w:r w:rsidRPr="00632C1B">
        <w:rPr>
          <w:sz w:val="20"/>
        </w:rPr>
        <w:t>Dzikri</w:t>
      </w:r>
      <w:proofErr w:type="spellEnd"/>
      <w:r w:rsidRPr="00632C1B">
        <w:rPr>
          <w:sz w:val="20"/>
        </w:rPr>
        <w:t xml:space="preserve"> </w:t>
      </w:r>
      <w:proofErr w:type="spellStart"/>
      <w:r w:rsidRPr="00632C1B">
        <w:rPr>
          <w:sz w:val="20"/>
        </w:rPr>
        <w:t>Firmansyah</w:t>
      </w:r>
      <w:proofErr w:type="spellEnd"/>
      <w:r w:rsidRPr="00632C1B">
        <w:rPr>
          <w:sz w:val="20"/>
        </w:rPr>
        <w:t xml:space="preserve"> Hakam, Bandung Institute of Technology</w:t>
      </w:r>
      <w:r w:rsidR="00632C1B">
        <w:rPr>
          <w:sz w:val="20"/>
        </w:rPr>
        <w:t xml:space="preserve"> and PT. PLN (Persero)</w:t>
      </w:r>
      <w:r w:rsidRPr="00632C1B">
        <w:rPr>
          <w:sz w:val="20"/>
        </w:rPr>
        <w:t>,</w:t>
      </w:r>
      <w:r w:rsidRPr="00632C1B">
        <w:t xml:space="preserve"> </w:t>
      </w:r>
      <w:r w:rsidRPr="00632C1B">
        <w:rPr>
          <w:sz w:val="20"/>
        </w:rPr>
        <w:t>+628112228155,</w:t>
      </w:r>
      <w:r w:rsidRPr="00D767DA">
        <w:rPr>
          <w:sz w:val="20"/>
        </w:rPr>
        <w:t xml:space="preserve"> </w:t>
      </w:r>
      <w:r w:rsidRPr="009C255B">
        <w:rPr>
          <w:sz w:val="20"/>
        </w:rPr>
        <w:t>dzikri.hakam@sbm-itb.ac.id</w:t>
      </w:r>
      <w:r w:rsidR="00DC69F1">
        <w:t xml:space="preserve"> </w:t>
      </w:r>
    </w:p>
    <w:p w14:paraId="458FA2FD" w14:textId="56C3F2E0" w:rsidR="00DC69F1" w:rsidRPr="00D767DA" w:rsidRDefault="00DC69F1" w:rsidP="00DC69F1">
      <w:pPr>
        <w:pStyle w:val="BodyText2"/>
        <w:framePr w:w="10800" w:h="2142" w:hRule="exact" w:hSpace="187" w:wrap="auto" w:vAnchor="page" w:hAnchor="page" w:x="714" w:y="1085"/>
        <w:spacing w:after="200"/>
        <w:jc w:val="right"/>
        <w:rPr>
          <w:i/>
        </w:rPr>
      </w:pPr>
    </w:p>
    <w:p w14:paraId="5711C294" w14:textId="707E7FEA" w:rsidR="00FC73E0" w:rsidRPr="00B97641" w:rsidRDefault="00FC73E0" w:rsidP="00B97641">
      <w:pPr>
        <w:pStyle w:val="copyright"/>
      </w:pPr>
    </w:p>
    <w:p w14:paraId="64A7DFB9" w14:textId="24275B56" w:rsidR="00DC69F1" w:rsidRPr="00632C1B" w:rsidRDefault="00DC69F1" w:rsidP="00632C1B">
      <w:pPr>
        <w:pStyle w:val="Heading2"/>
        <w:ind w:left="-810" w:firstLine="810"/>
        <w:rPr>
          <w:i w:val="0"/>
          <w:sz w:val="24"/>
          <w:szCs w:val="24"/>
        </w:rPr>
      </w:pPr>
      <w:r w:rsidRPr="00476853">
        <w:rPr>
          <w:i w:val="0"/>
          <w:sz w:val="24"/>
          <w:szCs w:val="24"/>
        </w:rPr>
        <w:t>Overview</w:t>
      </w:r>
    </w:p>
    <w:p w14:paraId="3EF62680" w14:textId="2BE4486C" w:rsidR="00633653" w:rsidRPr="00633653" w:rsidRDefault="00756F28" w:rsidP="00633653">
      <w:pPr>
        <w:pStyle w:val="Heading2"/>
        <w:jc w:val="both"/>
        <w:rPr>
          <w:rFonts w:ascii="Times New Roman" w:hAnsi="Times New Roman"/>
          <w:b w:val="0"/>
          <w:bCs/>
          <w:i w:val="0"/>
          <w:sz w:val="20"/>
        </w:rPr>
      </w:pPr>
      <w:r w:rsidRPr="00756F28">
        <w:rPr>
          <w:rFonts w:ascii="Times New Roman" w:hAnsi="Times New Roman"/>
          <w:b w:val="0"/>
          <w:bCs/>
          <w:i w:val="0"/>
          <w:sz w:val="20"/>
        </w:rPr>
        <w:t xml:space="preserve">Indonesia is </w:t>
      </w:r>
      <w:r>
        <w:rPr>
          <w:rFonts w:ascii="Times New Roman" w:hAnsi="Times New Roman"/>
          <w:b w:val="0"/>
          <w:bCs/>
          <w:i w:val="0"/>
          <w:sz w:val="20"/>
        </w:rPr>
        <w:t xml:space="preserve">the largest energy consumer in Southeast Asia, </w:t>
      </w:r>
      <w:r w:rsidRPr="00756F28">
        <w:rPr>
          <w:rFonts w:ascii="Times New Roman" w:hAnsi="Times New Roman"/>
          <w:b w:val="0"/>
          <w:bCs/>
          <w:i w:val="0"/>
          <w:sz w:val="20"/>
        </w:rPr>
        <w:t xml:space="preserve">accounting for more than 36% of the region's energy demand and consuming 66% more energy than Thailand, the second-largest </w:t>
      </w:r>
      <w:r w:rsidR="00657E10">
        <w:rPr>
          <w:rFonts w:ascii="Times New Roman" w:hAnsi="Times New Roman"/>
          <w:b w:val="0"/>
          <w:bCs/>
          <w:i w:val="0"/>
          <w:sz w:val="20"/>
        </w:rPr>
        <w:t>consumer</w:t>
      </w:r>
      <w:r w:rsidRPr="00756F28">
        <w:rPr>
          <w:rFonts w:ascii="Times New Roman" w:hAnsi="Times New Roman"/>
          <w:b w:val="0"/>
          <w:bCs/>
          <w:i w:val="0"/>
          <w:sz w:val="20"/>
        </w:rPr>
        <w:t xml:space="preserve">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{"citationItems":[{"id":"ITEM-1","itemData":{"abstract":"The Southeast Asia Energy Outlook 2019 is the fourth edition of this World Energy Outlook Special Report. Reflecting its growing partnership with Southeast Asia, the International Energy Agency (IEA) has conducted these in-depth studies every two years since 2013. The studies highlight the opportunities and risks facing the ten member countries of the Association of Southeast Asian Nations (ASEAN) – Brunei Darussalam, Cambodia, Indonesia, Lao People’s Democratic Republic (PDR), Malaysia, Myanmar, Philippines, Singapore, Thailand and Viet Nam - as they look to meet rising energy demand in a secure, affordable and sustainable manner. This report does not forecast what the energy sector will look like in Southeast Asia. The aim is to consider different possible futures, and the ways that they could come about. The report considers two main scenarios. The Stated Policies Scenario (STEPS) assesses where today’s policy frameworks and ambitions, plus continued evolution of known technologies, might take Southeast Asia’s energy sector in the period to 2040. This scenario only takes into account policies that have been announced (“stated”) and does not take a position on how these policies might evolve in future. The aim is to hold up a mirror to the energy ambitions of today’s decision makers and provide a candid assessment of their implications for energy markets, security and emissions. The Sustainable Development Scenario (SDS) takes a different approach. Instead of setting out the starting conditions, it fixes the outcomes and works back to the present to see how they can be achieved. The outcomes are the key energy-related components of the United Nations Sustainable Development Goals: delivering on the Paris Agreement, achieving universal access to modern energy by 2030, and dramatically reducing energy-related air pollution. Whereas the Stated Policies Scenario describes “where the region is heading”, the Sustainable Development Scenario shows “where it would need to go” to meet these internationally agreed goals. This gap between these outcomes can be narrowed, but it will require much stronger policy actions. After a scene-setting discussion in the first chapter, the scenario projections across all fuels and technologies are described in detail in Chapter 2. In Chapter 3, we analyse in detail three key areas: the future of cooling in the region; the scope to expand regional electricity trading, and the prospects for investment in the electricity sector.","author":[{"dropping-particle":"","family":"IEA","given":"","non-dropping-particle":"","parse-names":false,"suffix":""}],"container-title":"Iea","id":"ITEM-1","issue":"October","issued":{"date-parts":[["2019"]]},"title":"Southeast Asia Energy Outlook 2019 – Analysis","type":"article-journal"},"uris":["http://www.mendeley.com/documents/?uuid=72dfaead-eb61-4ac2-8ae0-230611d452ed"]}],"mendeley":{"formattedCitation":"(IEA, 2019)","plainTextFormattedCitation":"(IEA, 2019)","previouslyFormattedCitation":"(IEA, 2019)"},"properties":{"noteIndex":0},"schema":"https://github.com/citation-style-language/schema/raw/master/csl-citation.json"}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(IEA, 2019)</w:t>
      </w:r>
      <w:r w:rsidR="0069738A">
        <w:rPr>
          <w:rFonts w:ascii="Times New Roman" w:hAnsi="Times New Roman"/>
          <w:b w:val="0"/>
          <w:bCs/>
          <w:i w:val="0"/>
          <w:sz w:val="20"/>
        </w:rPr>
        <w:fldChar w:fldCharType="end"/>
      </w:r>
      <w:r w:rsidRPr="00756F28">
        <w:rPr>
          <w:rFonts w:ascii="Times New Roman" w:hAnsi="Times New Roman"/>
          <w:b w:val="0"/>
          <w:bCs/>
          <w:i w:val="0"/>
          <w:sz w:val="20"/>
        </w:rPr>
        <w:t>. In response to continued economic and demographic drivers, electricity demand will grow steadily</w:t>
      </w:r>
      <w:r w:rsidR="00657E10">
        <w:rPr>
          <w:rFonts w:ascii="Times New Roman" w:hAnsi="Times New Roman"/>
          <w:b w:val="0"/>
          <w:bCs/>
          <w:i w:val="0"/>
          <w:sz w:val="20"/>
        </w:rPr>
        <w:t xml:space="preserve"> and p</w:t>
      </w:r>
      <w:r w:rsidRPr="00756F28">
        <w:rPr>
          <w:rFonts w:ascii="Times New Roman" w:hAnsi="Times New Roman"/>
          <w:b w:val="0"/>
          <w:bCs/>
          <w:i w:val="0"/>
          <w:sz w:val="20"/>
        </w:rPr>
        <w:t xml:space="preserve">ower generating infrastructure in Indonesia </w:t>
      </w:r>
      <w:r w:rsidR="00657E10">
        <w:rPr>
          <w:rFonts w:ascii="Times New Roman" w:hAnsi="Times New Roman"/>
          <w:b w:val="0"/>
          <w:bCs/>
          <w:i w:val="0"/>
          <w:sz w:val="20"/>
        </w:rPr>
        <w:t xml:space="preserve">will </w:t>
      </w:r>
      <w:r w:rsidRPr="00756F28">
        <w:rPr>
          <w:rFonts w:ascii="Times New Roman" w:hAnsi="Times New Roman"/>
          <w:b w:val="0"/>
          <w:bCs/>
          <w:i w:val="0"/>
          <w:sz w:val="20"/>
        </w:rPr>
        <w:t>need substantial investment to support Indonesia's economic growth. Indonesia’s total power generating capacity currently stands at around 6</w:t>
      </w:r>
      <w:r w:rsidR="00657E10">
        <w:rPr>
          <w:rFonts w:ascii="Times New Roman" w:hAnsi="Times New Roman"/>
          <w:b w:val="0"/>
          <w:bCs/>
          <w:i w:val="0"/>
          <w:sz w:val="20"/>
        </w:rPr>
        <w:t xml:space="preserve">3.1 </w:t>
      </w:r>
      <w:r w:rsidRPr="00756F28">
        <w:rPr>
          <w:rFonts w:ascii="Times New Roman" w:hAnsi="Times New Roman"/>
          <w:b w:val="0"/>
          <w:bCs/>
          <w:i w:val="0"/>
          <w:sz w:val="20"/>
        </w:rPr>
        <w:t>GW</w:t>
      </w:r>
      <w:r w:rsidR="0069738A">
        <w:rPr>
          <w:rFonts w:ascii="Times New Roman" w:hAnsi="Times New Roman"/>
          <w:b w:val="0"/>
          <w:bCs/>
          <w:i w:val="0"/>
          <w:sz w:val="20"/>
        </w:rPr>
        <w:t xml:space="preserve">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{"citationItems":[{"id":"ITEM-1","itemData":{"author":[{"dropping-particle":"","family":"PLN","given":"","non-dropping-particle":"","parse-names":false,"suffix":""}],"id":"ITEM-1","issue":"March","issued":{"date-parts":[["2020"]]},"title":"Investor Presentation","type":"article-journal"},"uris":["http://www.mendeley.com/documents/?uuid=20037aaa-7d45-4b26-a84d-dbe01b3dfbe7"]}],"mendeley":{"formattedCitation":"(PLN, 2020)","plainTextFormattedCitation":"(PLN, 2020)","previouslyFormattedCitation":"(PLN, 2020)"},"properties":{"noteIndex":0},"schema":"https://github.com/citation-style-language/schema/raw/master/csl-citation.json"}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(PLN, 2020)</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but even the existing capacity still struggles to keep up with the demand and blackouts remain common across Sumatera, Kalimantan, Sulawesi and Eastern Indonesia. The </w:t>
      </w:r>
      <w:r>
        <w:rPr>
          <w:rFonts w:ascii="Times New Roman" w:hAnsi="Times New Roman"/>
          <w:b w:val="0"/>
          <w:bCs/>
          <w:i w:val="0"/>
          <w:sz w:val="20"/>
        </w:rPr>
        <w:t>Government of Indonesia</w:t>
      </w:r>
      <w:r w:rsidRPr="00756F28">
        <w:rPr>
          <w:rFonts w:ascii="Times New Roman" w:hAnsi="Times New Roman"/>
          <w:b w:val="0"/>
          <w:bCs/>
          <w:i w:val="0"/>
          <w:sz w:val="20"/>
        </w:rPr>
        <w:t xml:space="preserve"> since 2015 has implemented a 35,000 MW program to address the ever-increasing demand for electricity. However, based on the power plant construction status, the deployment of 35,000 MW of new generating capacity is delayed for several projects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{"citationItems":[{"id":"ITEM-1","itemData":{"author":[{"dropping-particle":"","family":"PLN","given":"","non-dropping-particle":"","parse-names":false,"suffix":""}],"id":"ITEM-1","issued":{"date-parts":[["2019"]]},"title":"Electric Power Supply Business Plan (2019-2028)","type":"article-journal"},"uris":["http://www.mendeley.com/documents/?uuid=4889399f-3c56-4df7-99d5-44255c16b47e"]}],"mendeley":{"formattedCitation":"(PLN, 2019a)","plainTextFormattedCitation":"(PLN, 2019a)","previouslyFormattedCitation":"(PLN, 2019a)"},"properties":{"noteIndex":0},"schema":"https://github.com/citation-style-language/schema/raw/master/csl-citation.json"}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(PLN, 2019a)</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w:t>
      </w:r>
      <w:r w:rsidR="00657E10">
        <w:rPr>
          <w:rFonts w:ascii="Times New Roman" w:hAnsi="Times New Roman"/>
          <w:b w:val="0"/>
          <w:bCs/>
          <w:i w:val="0"/>
          <w:sz w:val="20"/>
        </w:rPr>
        <w:t>Furthermore</w:t>
      </w:r>
      <w:r w:rsidRPr="00756F28">
        <w:rPr>
          <w:rFonts w:ascii="Times New Roman" w:hAnsi="Times New Roman"/>
          <w:b w:val="0"/>
          <w:bCs/>
          <w:i w:val="0"/>
          <w:sz w:val="20"/>
        </w:rPr>
        <w:t>, over the past year it has become apparent that power generating capacity is generally surplus for more than 30% reserve margin</w:t>
      </w:r>
      <w:r w:rsidR="0069738A">
        <w:rPr>
          <w:rFonts w:ascii="Times New Roman" w:hAnsi="Times New Roman"/>
          <w:b w:val="0"/>
          <w:bCs/>
          <w:i w:val="0"/>
          <w:sz w:val="20"/>
        </w:rPr>
        <w:t xml:space="preserve">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URL":"https://www.den.go.id/index.php/dinamispage/index/909-pemutakhiran-pemetaan-potensi-krisis-energi-darurat-energi.html","accessed":{"date-parts":[["2021","3","25"]]},"author":[{"dropping-particle":"","family":"DEN","given":"","non-dropping-particle":"","parse-names":false,"suffix":""}],"id":"ITEM-1","issued":{"date-parts":[["2020"]]},"title":"Dewan Energi Nasional | Berita","type":"webpage"},"uris":["http://www.mendeley.com/documents/?uuid=527ee192-35ae-3619-bdde-a69786c30d93"]}],"mendeley":{"formattedCitation":"(DEN, 2020)","plainTextFormattedCitation":"(DEN, 2020)","previouslyFormattedCitation":"(DEN, 2020)"},"properties":{"noteIndex":0},"schema":"https://github.com/citation-style-language/schema/raw/master/csl-citation.json"}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(DEN, 2020)</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with the largest grid being that of Java- Bali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{"citationItems":[{"id":"ITEM-1","itemData":{"author":[{"dropping-particle":"","family":"PLN","given":"","non-dropping-particle":"","parse-names":false,"suffix":""}],"id":"ITEM-1","issued":{"date-parts":[["2019"]]},"title":"PLN Statistic 2019","type":"book"},"uris":["http://www.mendeley.com/documents/?uuid=eb22e701-447e-42bc-a547-809523799d86"]}],"mendeley":{"formattedCitation":"(PLN, 2019b)","plainTextFormattedCitation":"(PLN, 2019b)","previouslyFormattedCitation":"(PLN, 2019b)"},"properties":{"noteIndex":0},"schema":"https://github.com/citation-style-language/schema/raw/master/csl-citation.json"}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(PLN, 2019b)</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The electricity surplus is due to several large power plants successfully commissioned. Moreover, COVID-19 pandemic resulted in the reduced electricity demand from business and industry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{"citationItems":[{"id":"ITEM-1","itemData":{"author":[{"dropping-particle":"","family":"Iqlima Fuqoha","given":"","non-dropping-particle":"","parse-names":false,"suffix":""},{"dropping-particle":"","family":"Kresnawan","given":"Muhammad Rizki","non-dropping-particle":"","parse-names":false,"suffix":""}],"id":"ITEM-1","issue":"June 2020","issued":{"date-parts":[["2021"]]},"page":"1-4","title":"Covid-19 vs ASEAN Energy Sector: ELectricity Recap of 2020","type":"article-journal"},"uris":["http://www.mendeley.com/documents/?uuid=4b8381f1-d0fb-4d36-831a-f83d44d14a2e"]}],"mendeley":{"formattedCitation":"(Iqlima Fuqoha and Kresnawan, 2021)","plainTextFormattedCitation":"(Iqlima Fuqoha and Kresnawan, 2021)","previouslyFormattedCitation":"(Iqlima Fuqoha and Kresnawan, 2021)"},"properties":{"noteIndex":0},"schema":"https://github.com/citation-style-language/schema/raw/master/csl-citation.json"}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(Iqlima Fuqoha and Kresnawan, 2021)</w:t>
      </w:r>
      <w:r w:rsidR="0069738A">
        <w:rPr>
          <w:rFonts w:ascii="Times New Roman" w:hAnsi="Times New Roman"/>
          <w:b w:val="0"/>
          <w:bCs/>
          <w:i w:val="0"/>
          <w:sz w:val="20"/>
        </w:rPr>
        <w:fldChar w:fldCharType="end"/>
      </w:r>
      <w:r w:rsidRPr="00756F28">
        <w:rPr>
          <w:rFonts w:ascii="Times New Roman" w:hAnsi="Times New Roman"/>
          <w:b w:val="0"/>
          <w:bCs/>
          <w:i w:val="0"/>
          <w:sz w:val="20"/>
        </w:rPr>
        <w:t>.</w:t>
      </w:r>
      <w:r w:rsidR="00657E10">
        <w:rPr>
          <w:rFonts w:ascii="Times New Roman" w:hAnsi="Times New Roman"/>
          <w:b w:val="0"/>
          <w:bCs/>
          <w:i w:val="0"/>
          <w:sz w:val="20"/>
        </w:rPr>
        <w:t xml:space="preserve"> </w:t>
      </w:r>
      <w:r w:rsidRPr="00756F28">
        <w:rPr>
          <w:rFonts w:ascii="Times New Roman" w:hAnsi="Times New Roman"/>
          <w:b w:val="0"/>
          <w:bCs/>
          <w:i w:val="0"/>
          <w:sz w:val="20"/>
        </w:rPr>
        <w:t xml:space="preserve">Currently, fossil energy power plants are the most widely built in the 35,000 MW program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{"citationItems":[{"id":"ITEM-1","itemData":{"DOI":"10.3390/en13143660","ISSN":"19961073","abstract":"To meet the Paris Agreement's climate mitigation objectives, there is an urgent global need to reduce coal combustion. Yet coal usage, particularly in the power sector, is rising in many developing countries. Indonesia is a notable example. While government policy is widely considered as the principle driver of Indonesia's increasing coal consumption, studies have largely overlooked the influence of socioeconomic forces. To understand these effects, we utilize a decomposition analysis to capture the individual effect of five drivers of coal consumption in Indonesia over 1965 to 2017: (1) the energy mix, (2) energy intensity of GDP, (3) population, (4) urbanization, and (5) urban incomes. Results show the energy mix has exerted the largest effect on coal consumption. In addition, by accounting for other socio-economic influences, we found that other less appreciated factors have contributed to rising coal consumption. In order of contribution these were the urban economic effect, the growing relative share of urban population, and the population increase itself in absolute terms. We thus demonstrate that the drivers of growing coal consumption are multi-faced, complex and intertwined. Our findings show that developing nations such as Indonesia share a need to decouple urban population growth and increasing per capita wealth from fossil fuel (and coal) emissions.","author":[{"dropping-particle":"","family":"Kurniawan","given":"Robi","non-dropping-particle":"","parse-names":false,"suffix":""},{"dropping-particle":"","family":"Trencher","given":"Gregory P.","non-dropping-particle":"","parse-names":false,"suffix":""},{"dropping-particle":"","family":"Edianto","given":"Achmed S.","non-dropping-particle":"","parse-names":false,"suffix":""},{"dropping-particle":"","family":"Setiawan","given":"Imam E.","non-dropping-particle":"","parse-names":false,"suffix":""},{"dropping-particle":"","family":"Matsubae","given":"Kazuyo","non-dropping-particle":"","parse-names":false,"suffix":""}],"container-title":"Energies","id":"ITEM-1","issue":"14","issued":{"date-parts":[["2020"]]},"page":"1-22","title":"Understanding the multi-faceted drivers of increasing coal consumption in Indonesia","type":"article-journal","volume":"13"},"uris":["http://www.mendeley.com/documents/?uuid=543ef0c8-75a3-4d78-9d8a-e6755f634a32"]}],"mendeley":{"formattedCitation":"(Kurniawan &lt;i&gt;et al.&lt;/i&gt;, 2020)","plainTextFormattedCitation":"(Kurniawan et al., 2020)","previouslyFormattedCitation":"(Kurniawan &lt;i&gt;et al.&lt;/i&gt;, 2020)"},"properties":{"noteIndex":0},"schema":"https://github.com/citation-style-language/schema/raw/master/csl-citation.json"}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 xml:space="preserve">(Kurniawan </w:t>
      </w:r>
      <w:r w:rsidR="0069738A" w:rsidRPr="0069738A">
        <w:rPr>
          <w:rFonts w:ascii="Times New Roman" w:hAnsi="Times New Roman"/>
          <w:b w:val="0"/>
          <w:bCs/>
          <w:noProof/>
          <w:sz w:val="20"/>
        </w:rPr>
        <w:t>et al.</w:t>
      </w:r>
      <w:r w:rsidR="0069738A" w:rsidRPr="0069738A">
        <w:rPr>
          <w:rFonts w:ascii="Times New Roman" w:hAnsi="Times New Roman"/>
          <w:b w:val="0"/>
          <w:bCs/>
          <w:i w:val="0"/>
          <w:noProof/>
          <w:sz w:val="20"/>
        </w:rPr>
        <w:t>, 2020)</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However, renewable energy research and development have made renewable energy investment cost cheaper than fossil energy so that renewable energy can be one of the options to achieve 35,000 MW power plant target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{"citationItems":[{"id":"ITEM-1","itemData":{"ISBN":"978-92-9260-244-4","ISSN":"1476-4687","PMID":"25246403","abstract":"IRENA_2018_Power_Costs_2017.pdf Unless otherwise stated, this publication and material herein are the property of the International Renewable Energy Agency (IRENA) and are subject to copyright by IRENA. Material in this publication may be freely used, shared, copied, reproduced, printed and/or stored, provided that all such material is clearly attributed to IRENA and bears a notation of copyright (© IRENA) with the year of copyright. Material contained in this publication attributed to third parties may be subject to third-party copyright and separate terms of use and restrictions, including restrictions in relation to any commercial use.","author":[{"dropping-particle":"","family":"IRENA","given":"","non-dropping-particle":"","parse-names":false,"suffix":""}],"container-title":"IRENA","id":"ITEM-1","issued":{"date-parts":[["2020"]]},"number-of-pages":"160","title":"Renewable Power Generation Costs in 2019","type":"book"},"uris":["http://www.mendeley.com/documents/?uuid=ee259692-c954-4b49-83f3-e21d1aa07663"]}],"mendeley":{"formattedCitation":"(IRENA, 2020)","plainTextFormattedCitation":"(IRENA, 2020)","previouslyFormattedCitation":"(IRENA, 2020)"},"properties":{"noteIndex":0},"schema":"https://github.com/citation-style-language/schema/raw/master/csl-citation.json"}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(IRENA, 2020)</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The government aims to have at least 23% of total electricity from renewable energy by 2025 and 28% in 2038, align with the Indonesia’s Nationally Determined Contribution (NDC) for Paris Agreement on Climate Change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{"citationItems":[{"id":"ITEM-1","itemData":{"abstract":"Indonesia is a nascent yet stable democracy and the fourth most populous country in the world. Despite continuous, multi-decade economic growth, approximately 11% of Indonesia's population is living below the poverty line. To lift people out of poverty, the Government of Indonesia (GOI) is promoting economic development projected to average at least 5% per year in order to reduce the poverty rate to below 4% by 2025, as mandated by the Indonesian Constitution, inter alia, that \" every person shall have the right to enjoy a good and healthy environment. \" As climate change becomes a reality, Indonesia continues to seek a balance between its current and future development and poverty reduction priorities.","author":[{"dropping-particle":"","family":"MEMR","given":"","non-dropping-particle":"","parse-names":false,"suffix":""}],"id":"ITEM-1","issue":"November 2016","issued":{"date-parts":[["2016"]]},"title":"First Nationally Determined Contribution Submitted to UNFCCC","type":"article-journal"},"uris":["http://www.mendeley.com/documents/?uuid=c4242b48-d2e3-4403-bdba-69120d12ea94"]}],"mendeley":{"formattedCitation":"(MEMR, 2016)","plainTextFormattedCitation":"(MEMR, 2016)","previouslyFormattedCitation":"(MEMR, 2016)"},"properties":{"noteIndex":0},"schema":"https://github.com/citation-style-language/schema/raw/master/csl-citation.json"}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(MEMR, 2016)</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The target is so ambitious that Indonesia will need accurate long-term energy planning to achieve the renewable energy target </w:t>
      </w:r>
      <w:r w:rsidR="0069738A">
        <w:rPr>
          <w:rFonts w:ascii="Times New Roman" w:hAnsi="Times New Roman"/>
          <w:b w:val="0"/>
          <w:bCs/>
          <w:i w:val="0"/>
          <w:sz w:val="20"/>
        </w:rPr>
        <w:fldChar w:fldCharType="begin" w:fldLock="1"/>
      </w:r>
      <w:r w:rsidR="0069738A">
        <w:rPr>
          <w:rFonts w:ascii="Times New Roman" w:hAnsi="Times New Roman"/>
          <w:b w:val="0"/>
          <w:bCs/>
          <w:i w:val="0"/>
          <w:sz w:val="20"/>
        </w:rPr>
        <w:instrText>ADDIN CSL_CITATION {"citationItems":[{"id":"ITEM-1","itemData":{"ISBN":"1026-1141","abstract":"The International Renewable Energy Agency (IRENA)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About SENER The Mexican Ministry of Energy (SENER) is the institution in charge of driving the country's energy policy, within the national constitutional framework, to ensure an economically viable competitive supply of, suf-ficient, high quality, and environmentally sustainable energy. With the vision of achieving a country with universal access to modern energy at competitive prices, provided securely by public and private compa-nies of the highest world standards, and with the extensive promotion of the implementation of Energy Efficiency and Renewable Energy.","author":[{"dropping-particle":"","family":"IRENA","given":"","non-dropping-particle":"","parse-names":false,"suffix":""}],"container-title":"International Renewable Energy Agency (IRENA)","id":"ITEM-1","issue":"March","issued":{"date-parts":[["2017"]]},"number-of-pages":"108","title":"Renewable Energy Prospects: Indonesia","type":"book"},"uris":["http://www.mendeley.com/documents/?uuid=df58cda2-2f01-4f93-88fe-3cc72df6ea7c"]}],"mendeley":{"formattedCitation":"(IRENA, 2017)","plainTextFormattedCitation":"(IRENA, 2017)","previouslyFormattedCitation":"(IRENA, 2017)"},"properties":{"noteIndex":0},"schema":"https://github.com/citation-style-language/schema/raw/master/csl-citation.json"}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(IRENA, 2017)</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From an economic point of view, renewable energy generators' addition amid a surplus in generating capacity will </w:t>
      </w:r>
      <w:r w:rsidR="00633653">
        <w:rPr>
          <w:rFonts w:ascii="Times New Roman" w:hAnsi="Times New Roman"/>
          <w:b w:val="0"/>
          <w:bCs/>
          <w:i w:val="0"/>
          <w:sz w:val="20"/>
        </w:rPr>
        <w:t xml:space="preserve">be an </w:t>
      </w:r>
      <w:r w:rsidRPr="00756F28">
        <w:rPr>
          <w:rFonts w:ascii="Times New Roman" w:hAnsi="Times New Roman"/>
          <w:b w:val="0"/>
          <w:bCs/>
          <w:i w:val="0"/>
          <w:sz w:val="20"/>
        </w:rPr>
        <w:t>inefficie</w:t>
      </w:r>
      <w:r w:rsidR="00633653">
        <w:rPr>
          <w:rFonts w:ascii="Times New Roman" w:hAnsi="Times New Roman"/>
          <w:b w:val="0"/>
          <w:bCs/>
          <w:i w:val="0"/>
          <w:sz w:val="20"/>
        </w:rPr>
        <w:t xml:space="preserve">nt investment </w:t>
      </w:r>
      <w:r w:rsidR="0069738A">
        <w:rPr>
          <w:rFonts w:ascii="Times New Roman" w:hAnsi="Times New Roman"/>
          <w:b w:val="0"/>
          <w:bCs/>
          <w:i w:val="0"/>
          <w:sz w:val="20"/>
        </w:rPr>
        <w:fldChar w:fldCharType="begin" w:fldLock="1"/>
      </w:r>
      <w:r w:rsidR="00632C1B">
        <w:rPr>
          <w:rFonts w:ascii="Times New Roman" w:hAnsi="Times New Roman"/>
          <w:b w:val="0"/>
          <w:bCs/>
          <w:i w:val="0"/>
          <w:sz w:val="20"/>
        </w:rPr>
        <w:instrText>ADDIN CSL_CITATION {"citationItems":[{"id":"ITEM-1","itemData":{"author":[{"dropping-particle":"","family":"Schernikau","given":"Lars","non-dropping-particle":"","parse-names":false,"suffix":""}],"id":"ITEM-1","issue":"October","issued":{"date-parts":[["2020"]]},"page":"1-6","title":"The truth behind renewable energy","type":"article-journal"},"uris":["http://www.mendeley.com/documents/?uuid=83c2fe34-e8c4-4f9f-a9e5-83773f0cfe39"]}],"mendeley":{"formattedCitation":"(Schernikau, 2020)","plainTextFormattedCitation":"(Schernikau, 2020)","previouslyFormattedCitation":"(Schernikau, 2020)"},"properties":{"noteIndex":0},"schema":"https://github.com/citation-style-language/schema/raw/master/csl-citation.json"}</w:instrText>
      </w:r>
      <w:r w:rsidR="0069738A">
        <w:rPr>
          <w:rFonts w:ascii="Times New Roman" w:hAnsi="Times New Roman"/>
          <w:b w:val="0"/>
          <w:bCs/>
          <w:i w:val="0"/>
          <w:sz w:val="20"/>
        </w:rPr>
        <w:fldChar w:fldCharType="separate"/>
      </w:r>
      <w:r w:rsidR="0069738A" w:rsidRPr="0069738A">
        <w:rPr>
          <w:rFonts w:ascii="Times New Roman" w:hAnsi="Times New Roman"/>
          <w:b w:val="0"/>
          <w:bCs/>
          <w:i w:val="0"/>
          <w:noProof/>
          <w:sz w:val="20"/>
        </w:rPr>
        <w:t>(Schernikau, 2020)</w:t>
      </w:r>
      <w:r w:rsidR="0069738A">
        <w:rPr>
          <w:rFonts w:ascii="Times New Roman" w:hAnsi="Times New Roman"/>
          <w:b w:val="0"/>
          <w:bCs/>
          <w:i w:val="0"/>
          <w:sz w:val="20"/>
        </w:rPr>
        <w:fldChar w:fldCharType="end"/>
      </w:r>
      <w:r w:rsidRPr="00756F28">
        <w:rPr>
          <w:rFonts w:ascii="Times New Roman" w:hAnsi="Times New Roman"/>
          <w:b w:val="0"/>
          <w:bCs/>
          <w:i w:val="0"/>
          <w:sz w:val="20"/>
        </w:rPr>
        <w:t xml:space="preserve">. </w:t>
      </w:r>
      <w:r w:rsidR="00A82270">
        <w:rPr>
          <w:rFonts w:ascii="Times New Roman" w:hAnsi="Times New Roman"/>
          <w:b w:val="0"/>
          <w:bCs/>
          <w:i w:val="0"/>
          <w:sz w:val="20"/>
        </w:rPr>
        <w:t xml:space="preserve">Especially, as </w:t>
      </w:r>
      <w:r w:rsidR="00633653">
        <w:rPr>
          <w:rFonts w:ascii="Times New Roman" w:hAnsi="Times New Roman"/>
          <w:b w:val="0"/>
          <w:bCs/>
          <w:i w:val="0"/>
          <w:sz w:val="20"/>
        </w:rPr>
        <w:t xml:space="preserve">renewable energy such as </w:t>
      </w:r>
      <w:r w:rsidRPr="00756F28">
        <w:rPr>
          <w:rFonts w:ascii="Times New Roman" w:hAnsi="Times New Roman"/>
          <w:b w:val="0"/>
          <w:bCs/>
          <w:i w:val="0"/>
          <w:sz w:val="20"/>
        </w:rPr>
        <w:t xml:space="preserve">solar and wind power have intermittent characteristics, </w:t>
      </w:r>
      <w:r w:rsidR="00A82270">
        <w:rPr>
          <w:rFonts w:ascii="Times New Roman" w:hAnsi="Times New Roman"/>
          <w:b w:val="0"/>
          <w:bCs/>
          <w:i w:val="0"/>
          <w:sz w:val="20"/>
        </w:rPr>
        <w:t xml:space="preserve">which </w:t>
      </w:r>
      <w:r w:rsidRPr="00756F28">
        <w:rPr>
          <w:rFonts w:ascii="Times New Roman" w:hAnsi="Times New Roman"/>
          <w:b w:val="0"/>
          <w:bCs/>
          <w:i w:val="0"/>
          <w:sz w:val="20"/>
        </w:rPr>
        <w:t xml:space="preserve">requires </w:t>
      </w:r>
      <w:r w:rsidR="00A82270">
        <w:rPr>
          <w:rFonts w:ascii="Times New Roman" w:hAnsi="Times New Roman"/>
          <w:b w:val="0"/>
          <w:bCs/>
          <w:i w:val="0"/>
          <w:sz w:val="20"/>
        </w:rPr>
        <w:t xml:space="preserve">in additional </w:t>
      </w:r>
      <w:r w:rsidRPr="00756F28">
        <w:rPr>
          <w:rFonts w:ascii="Times New Roman" w:hAnsi="Times New Roman"/>
          <w:b w:val="0"/>
          <w:bCs/>
          <w:i w:val="0"/>
          <w:sz w:val="20"/>
        </w:rPr>
        <w:t xml:space="preserve">investment in the form of a generator or battery, causing a higher investment cost than other </w:t>
      </w:r>
      <w:r w:rsidR="00A82270">
        <w:rPr>
          <w:rFonts w:ascii="Times New Roman" w:hAnsi="Times New Roman"/>
          <w:b w:val="0"/>
          <w:bCs/>
          <w:i w:val="0"/>
          <w:sz w:val="20"/>
        </w:rPr>
        <w:t>type of energy</w:t>
      </w:r>
      <w:r w:rsidRPr="00756F28">
        <w:rPr>
          <w:rFonts w:ascii="Times New Roman" w:hAnsi="Times New Roman"/>
          <w:b w:val="0"/>
          <w:bCs/>
          <w:i w:val="0"/>
          <w:sz w:val="20"/>
        </w:rPr>
        <w:t xml:space="preserve">. </w:t>
      </w:r>
      <w:r w:rsidR="00633653" w:rsidRPr="00632C1B">
        <w:rPr>
          <w:rFonts w:ascii="Times New Roman" w:hAnsi="Times New Roman"/>
          <w:b w:val="0"/>
          <w:bCs/>
          <w:i w:val="0"/>
          <w:sz w:val="20"/>
        </w:rPr>
        <w:t xml:space="preserve">Based on all the considerations above, this research aims to provide an insight </w:t>
      </w:r>
      <w:r w:rsidR="00E75093" w:rsidRPr="00632C1B">
        <w:rPr>
          <w:rFonts w:ascii="Times New Roman" w:hAnsi="Times New Roman"/>
          <w:b w:val="0"/>
          <w:bCs/>
          <w:i w:val="0"/>
          <w:sz w:val="20"/>
        </w:rPr>
        <w:t>for</w:t>
      </w:r>
      <w:r w:rsidR="00633653" w:rsidRPr="00632C1B">
        <w:rPr>
          <w:rFonts w:ascii="Times New Roman" w:hAnsi="Times New Roman"/>
          <w:b w:val="0"/>
          <w:bCs/>
          <w:i w:val="0"/>
          <w:sz w:val="20"/>
        </w:rPr>
        <w:t xml:space="preserve"> Indonesia</w:t>
      </w:r>
      <w:r w:rsidR="009D2309" w:rsidRPr="00632C1B">
        <w:rPr>
          <w:rFonts w:ascii="Times New Roman" w:hAnsi="Times New Roman"/>
          <w:b w:val="0"/>
          <w:bCs/>
          <w:i w:val="0"/>
          <w:color w:val="FF0000"/>
          <w:sz w:val="20"/>
        </w:rPr>
        <w:t xml:space="preserve"> </w:t>
      </w:r>
      <w:r w:rsidR="009D2309" w:rsidRPr="00632C1B">
        <w:rPr>
          <w:rFonts w:ascii="Times New Roman" w:hAnsi="Times New Roman"/>
          <w:b w:val="0"/>
          <w:bCs/>
          <w:i w:val="0"/>
          <w:sz w:val="20"/>
        </w:rPr>
        <w:t>l</w:t>
      </w:r>
      <w:r w:rsidRPr="00632C1B">
        <w:rPr>
          <w:rFonts w:ascii="Times New Roman" w:hAnsi="Times New Roman"/>
          <w:b w:val="0"/>
          <w:bCs/>
          <w:i w:val="0"/>
          <w:sz w:val="20"/>
        </w:rPr>
        <w:t xml:space="preserve">ong-term generation expansion planning </w:t>
      </w:r>
      <w:r w:rsidR="00E75093" w:rsidRPr="00632C1B">
        <w:rPr>
          <w:rFonts w:ascii="Times New Roman" w:hAnsi="Times New Roman"/>
          <w:b w:val="0"/>
          <w:bCs/>
          <w:i w:val="0"/>
          <w:sz w:val="20"/>
        </w:rPr>
        <w:t xml:space="preserve">for </w:t>
      </w:r>
      <w:r w:rsidR="009B3C82" w:rsidRPr="00632C1B">
        <w:rPr>
          <w:rFonts w:ascii="Times New Roman" w:hAnsi="Times New Roman"/>
          <w:b w:val="0"/>
          <w:bCs/>
          <w:i w:val="0"/>
          <w:sz w:val="20"/>
        </w:rPr>
        <w:t>2020 – 2050</w:t>
      </w:r>
      <w:r w:rsidR="00E75093" w:rsidRPr="00632C1B">
        <w:rPr>
          <w:rFonts w:ascii="Times New Roman" w:hAnsi="Times New Roman"/>
          <w:b w:val="0"/>
          <w:bCs/>
          <w:i w:val="0"/>
          <w:sz w:val="20"/>
        </w:rPr>
        <w:t xml:space="preserve"> period </w:t>
      </w:r>
      <w:r w:rsidRPr="00632C1B">
        <w:rPr>
          <w:rFonts w:ascii="Times New Roman" w:hAnsi="Times New Roman"/>
          <w:b w:val="0"/>
          <w:bCs/>
          <w:i w:val="0"/>
          <w:sz w:val="20"/>
        </w:rPr>
        <w:t xml:space="preserve">that is accurate and can meet </w:t>
      </w:r>
      <w:r w:rsidR="00633653" w:rsidRPr="00632C1B">
        <w:rPr>
          <w:rFonts w:ascii="Times New Roman" w:hAnsi="Times New Roman"/>
          <w:b w:val="0"/>
          <w:bCs/>
          <w:i w:val="0"/>
          <w:sz w:val="20"/>
        </w:rPr>
        <w:t>renewable energy</w:t>
      </w:r>
      <w:r w:rsidRPr="00632C1B">
        <w:rPr>
          <w:rFonts w:ascii="Times New Roman" w:hAnsi="Times New Roman"/>
          <w:b w:val="0"/>
          <w:bCs/>
          <w:i w:val="0"/>
          <w:sz w:val="20"/>
        </w:rPr>
        <w:t xml:space="preserve"> targets while remaining efficient in economic investment.</w:t>
      </w:r>
    </w:p>
    <w:p w14:paraId="1887D618" w14:textId="2E2D05C6" w:rsidR="00632C1B" w:rsidRPr="00632C1B" w:rsidRDefault="00DC69F1" w:rsidP="00632C1B">
      <w:pPr>
        <w:pStyle w:val="Heading2"/>
        <w:rPr>
          <w:i w:val="0"/>
          <w:sz w:val="24"/>
          <w:szCs w:val="24"/>
        </w:rPr>
      </w:pPr>
      <w:r w:rsidRPr="00D767DA">
        <w:rPr>
          <w:i w:val="0"/>
          <w:sz w:val="24"/>
          <w:szCs w:val="24"/>
        </w:rPr>
        <w:t>Methods</w:t>
      </w:r>
    </w:p>
    <w:p w14:paraId="2C8324A8" w14:textId="66CDF6B1" w:rsidR="00DC69F1" w:rsidRPr="00632C1B" w:rsidRDefault="009D2309" w:rsidP="00632C1B">
      <w:pPr>
        <w:pStyle w:val="BodyText2"/>
        <w:spacing w:after="200"/>
        <w:ind w:firstLine="0"/>
      </w:pPr>
      <w:r>
        <w:t xml:space="preserve">This research use </w:t>
      </w:r>
      <w:r w:rsidR="00756F28" w:rsidRPr="00756F28">
        <w:t xml:space="preserve">Low Emission Analysis Platform </w:t>
      </w:r>
      <w:r>
        <w:t>(</w:t>
      </w:r>
      <w:r w:rsidR="00756F28" w:rsidRPr="00756F28">
        <w:t>LEAP</w:t>
      </w:r>
      <w:r>
        <w:t>) software</w:t>
      </w:r>
      <w:r w:rsidR="00756F28" w:rsidRPr="00756F28">
        <w:t>, is a software tool for energy policy analysis and climate change mitigation assessment developed by Stockholm Environment Institute. LEAP used scenario-based modelling tool that can be used to track energy consumption, production and resource extraction in all sectors of an economy</w:t>
      </w:r>
      <w:r w:rsidR="00756F28">
        <w:t xml:space="preserve">. </w:t>
      </w:r>
      <w:r w:rsidR="00756F28" w:rsidRPr="00756F28">
        <w:t>LEAP supports a wide range of different modelling methodologies: on the demand side these range from bottom-up, end-use accounting techniques to top-down macroeconomic modelling. On the supply side, LEAP provides a range of accounting, simulation and optimization methodologies that are powerful enough for modelling electric sector generation and capacity expansion planning, and which are also sufficiently flexible and transparent to allow LEAP to easily incorporate data and results from other more specialized models</w:t>
      </w:r>
      <w:r w:rsidR="00756F28">
        <w:t>.</w:t>
      </w:r>
      <w:r w:rsidR="00756F28" w:rsidRPr="00756F28">
        <w:t xml:space="preserve"> The newest versions of LEAP also support optimization modelling: allowing for the construction of least cost models of electric system capacity expansion and dispatch, potentially under various constraints such as minimum renewable energy usage. </w:t>
      </w:r>
      <w:r w:rsidR="00E75093">
        <w:t>T</w:t>
      </w:r>
      <w:r w:rsidRPr="009D2309">
        <w:t xml:space="preserve">he electricity demand </w:t>
      </w:r>
      <w:r w:rsidR="000047B1">
        <w:t xml:space="preserve">and power generation data </w:t>
      </w:r>
      <w:proofErr w:type="gramStart"/>
      <w:r w:rsidR="00E75093">
        <w:t>is</w:t>
      </w:r>
      <w:proofErr w:type="gramEnd"/>
      <w:r w:rsidR="00E75093">
        <w:t xml:space="preserve"> </w:t>
      </w:r>
      <w:r w:rsidRPr="009D2309">
        <w:t xml:space="preserve">based on </w:t>
      </w:r>
      <w:r w:rsidR="000047B1">
        <w:t>the</w:t>
      </w:r>
      <w:r w:rsidRPr="009D2309">
        <w:t xml:space="preserve"> </w:t>
      </w:r>
      <w:r w:rsidR="00E75093">
        <w:t>Indonesia’s National Electricity Plan (</w:t>
      </w:r>
      <w:r w:rsidRPr="009D2309">
        <w:t>RUKN</w:t>
      </w:r>
      <w:r w:rsidR="00E75093">
        <w:t>)</w:t>
      </w:r>
      <w:r w:rsidRPr="009D2309">
        <w:t xml:space="preserve"> 2019-2038 and </w:t>
      </w:r>
      <w:r w:rsidR="00E75093">
        <w:t>PLN’s Electricity Supply Business Plan (</w:t>
      </w:r>
      <w:r w:rsidRPr="009D2309">
        <w:t>RUPTL</w:t>
      </w:r>
      <w:r w:rsidR="00E75093">
        <w:t>)</w:t>
      </w:r>
      <w:r w:rsidRPr="009D2309">
        <w:t xml:space="preserve"> 2019-2028</w:t>
      </w:r>
      <w:r w:rsidR="000047B1">
        <w:t>,</w:t>
      </w:r>
      <w:r w:rsidR="009B3C82">
        <w:t xml:space="preserve"> and other sources</w:t>
      </w:r>
      <w:r w:rsidRPr="009D2309">
        <w:t xml:space="preserve">. </w:t>
      </w:r>
      <w:r w:rsidR="009B3C82" w:rsidRPr="009B3C82">
        <w:t>The total cost of the power system is the total net present value of the system costs over the entire period of calculation</w:t>
      </w:r>
      <w:r w:rsidR="009B3C82">
        <w:t xml:space="preserve">. </w:t>
      </w:r>
      <w:r w:rsidR="009B3C82" w:rsidRPr="00632C1B">
        <w:t xml:space="preserve">There are </w:t>
      </w:r>
      <w:r w:rsidR="00C0622B" w:rsidRPr="00632C1B">
        <w:t>2</w:t>
      </w:r>
      <w:r w:rsidR="009B3C82" w:rsidRPr="00632C1B">
        <w:t xml:space="preserve"> scenario </w:t>
      </w:r>
      <w:proofErr w:type="gramStart"/>
      <w:r w:rsidR="009B3C82" w:rsidRPr="00632C1B">
        <w:t>that  will</w:t>
      </w:r>
      <w:proofErr w:type="gramEnd"/>
      <w:r w:rsidR="009B3C82" w:rsidRPr="00632C1B">
        <w:t xml:space="preserve"> be simulated in this research</w:t>
      </w:r>
      <w:r w:rsidR="006D6416" w:rsidRPr="00632C1B">
        <w:t>;</w:t>
      </w:r>
      <w:r w:rsidR="009B3C82" w:rsidRPr="00632C1B">
        <w:t xml:space="preserve"> </w:t>
      </w:r>
      <w:r w:rsidR="009D06B0" w:rsidRPr="00632C1B">
        <w:t>Reference scenario/BAU scenario</w:t>
      </w:r>
      <w:r w:rsidR="009B3C82" w:rsidRPr="00632C1B">
        <w:t xml:space="preserve"> (demand and power generation will be </w:t>
      </w:r>
      <w:r w:rsidR="003F5AD7" w:rsidRPr="00632C1B">
        <w:t>based on</w:t>
      </w:r>
      <w:r w:rsidR="009B3C82" w:rsidRPr="00632C1B">
        <w:t xml:space="preserve">  RUPTL 2019 – 2028</w:t>
      </w:r>
      <w:r w:rsidR="009D06B0" w:rsidRPr="00632C1B">
        <w:t>, pre covid condition</w:t>
      </w:r>
      <w:r w:rsidR="009B3C82" w:rsidRPr="00632C1B">
        <w:t>)</w:t>
      </w:r>
      <w:r w:rsidR="00632C1B" w:rsidRPr="00632C1B">
        <w:t xml:space="preserve"> and</w:t>
      </w:r>
      <w:r w:rsidR="009B3C82" w:rsidRPr="00632C1B">
        <w:t xml:space="preserve"> Post Covid-19 (demand will be adjust to post covid-19, </w:t>
      </w:r>
      <w:r w:rsidR="003F5AD7" w:rsidRPr="00632C1B">
        <w:t xml:space="preserve">while the power generation will be </w:t>
      </w:r>
      <w:r w:rsidR="007F4CAD" w:rsidRPr="00632C1B">
        <w:t>manually</w:t>
      </w:r>
      <w:r w:rsidR="003F5AD7" w:rsidRPr="00632C1B">
        <w:t xml:space="preserve"> adjust to prioritize hydro and geothermal</w:t>
      </w:r>
      <w:r w:rsidR="007F4CAD" w:rsidRPr="00632C1B">
        <w:t xml:space="preserve"> energy</w:t>
      </w:r>
      <w:r w:rsidR="003F5AD7" w:rsidRPr="00632C1B">
        <w:t>)</w:t>
      </w:r>
      <w:r w:rsidR="00632C1B" w:rsidRPr="00632C1B">
        <w:t>.</w:t>
      </w:r>
    </w:p>
    <w:p w14:paraId="04BD1343" w14:textId="6272247D" w:rsidR="00F73067" w:rsidRPr="00632C1B" w:rsidRDefault="00DC69F1" w:rsidP="00632C1B">
      <w:pPr>
        <w:pStyle w:val="Heading2"/>
        <w:rPr>
          <w:i w:val="0"/>
          <w:sz w:val="24"/>
          <w:szCs w:val="24"/>
        </w:rPr>
      </w:pPr>
      <w:r w:rsidRPr="00D767DA">
        <w:rPr>
          <w:i w:val="0"/>
          <w:sz w:val="24"/>
          <w:szCs w:val="24"/>
        </w:rPr>
        <w:t>Results</w:t>
      </w:r>
    </w:p>
    <w:p w14:paraId="27F659EB" w14:textId="04B24865" w:rsidR="00D17EF3" w:rsidRDefault="00D17EF3" w:rsidP="00D17EF3">
      <w:pPr>
        <w:jc w:val="both"/>
      </w:pPr>
      <w:r>
        <w:t xml:space="preserve">In the </w:t>
      </w:r>
      <w:r w:rsidR="00F73067" w:rsidRPr="00F73067">
        <w:rPr>
          <w:b/>
          <w:bCs/>
        </w:rPr>
        <w:t>R</w:t>
      </w:r>
      <w:r w:rsidR="009277BD" w:rsidRPr="00F73067">
        <w:rPr>
          <w:b/>
          <w:bCs/>
        </w:rPr>
        <w:t>eference</w:t>
      </w:r>
      <w:r>
        <w:t xml:space="preserve"> scenario, the total </w:t>
      </w:r>
      <w:r w:rsidR="009277BD">
        <w:t xml:space="preserve">projected electricity demand will increase from 261.5 </w:t>
      </w:r>
      <w:proofErr w:type="spellStart"/>
      <w:r w:rsidR="009277BD">
        <w:t>TWh</w:t>
      </w:r>
      <w:proofErr w:type="spellEnd"/>
      <w:r w:rsidR="009277BD">
        <w:t xml:space="preserve"> in 2020 to 360.9 </w:t>
      </w:r>
      <w:proofErr w:type="spellStart"/>
      <w:r w:rsidR="009277BD">
        <w:t>TWh</w:t>
      </w:r>
      <w:proofErr w:type="spellEnd"/>
      <w:r w:rsidR="009277BD">
        <w:t xml:space="preserve"> in 2025. In 2038</w:t>
      </w:r>
      <w:r w:rsidR="00703DAD">
        <w:t xml:space="preserve"> and 2050</w:t>
      </w:r>
      <w:r w:rsidR="009277BD">
        <w:t xml:space="preserve">, the electricity demand will be 773.8 </w:t>
      </w:r>
      <w:proofErr w:type="spellStart"/>
      <w:r w:rsidR="009277BD">
        <w:t>TWh</w:t>
      </w:r>
      <w:proofErr w:type="spellEnd"/>
      <w:r w:rsidR="00703DAD">
        <w:t xml:space="preserve"> and 1561.2 </w:t>
      </w:r>
      <w:proofErr w:type="spellStart"/>
      <w:r w:rsidR="00703DAD">
        <w:t>TWh</w:t>
      </w:r>
      <w:proofErr w:type="spellEnd"/>
      <w:r w:rsidR="00703DAD">
        <w:t xml:space="preserve">, respectively. The total power </w:t>
      </w:r>
      <w:r w:rsidR="00703DAD">
        <w:lastRenderedPageBreak/>
        <w:t xml:space="preserve">generation capacity added during 2020 – 2050 is 54.2 GW. The </w:t>
      </w:r>
      <w:r w:rsidR="00F73067">
        <w:t xml:space="preserve">total power generation capacity in 2025 will be 107.6 GW, with the energy mix consist of hydro (11.26%), geothermal (6.14%), biomass (0.16%), </w:t>
      </w:r>
      <w:proofErr w:type="spellStart"/>
      <w:r w:rsidR="00F73067">
        <w:t>pv</w:t>
      </w:r>
      <w:proofErr w:type="spellEnd"/>
      <w:r w:rsidR="00F73067">
        <w:t xml:space="preserve"> (0.06%), wind and other renewable energy (2.37%), natural gas (25.18%), coal (47.14%), and oil (7.68%). The total power generation in 2038 will be 115.4 GW, with the energy mix consist of hydro (12.34%), geothermal (5.94%), biomass (0.15%), </w:t>
      </w:r>
      <w:proofErr w:type="spellStart"/>
      <w:r w:rsidR="00F73067">
        <w:t>pv</w:t>
      </w:r>
      <w:proofErr w:type="spellEnd"/>
      <w:r w:rsidR="00F73067">
        <w:t xml:space="preserve"> (0.06%), wind and other renewable energy (</w:t>
      </w:r>
      <w:r w:rsidR="00AD224C">
        <w:t>2.27%), natural gas (24.5%), coal (47.59%), and oil (7.16%). The renewable energy percentage in 2025 and 2038 is 20% and 20.75%. The over</w:t>
      </w:r>
      <w:r w:rsidR="000B7367">
        <w:t xml:space="preserve">capacity of power generation in 2020 – 2028 causing the reserve margin growth up to 80% and so LEAP not added any capacity. The simulation </w:t>
      </w:r>
      <w:proofErr w:type="gramStart"/>
      <w:r w:rsidR="000B7367">
        <w:t>show</w:t>
      </w:r>
      <w:proofErr w:type="gramEnd"/>
      <w:r w:rsidR="000B7367">
        <w:t xml:space="preserve"> that beyond 2028 up to 2050, the total installed capacity is enough to supply the demand and keep a 35% reserve margin.</w:t>
      </w:r>
    </w:p>
    <w:p w14:paraId="468FF819" w14:textId="0118D3D2" w:rsidR="000B7367" w:rsidRPr="00D17EF3" w:rsidRDefault="000B7367" w:rsidP="00D17EF3">
      <w:pPr>
        <w:jc w:val="both"/>
      </w:pPr>
      <w:r>
        <w:t>The total investment cost that will be need to fund the power generation expansion for 2020 – 2050 will be</w:t>
      </w:r>
      <w:r w:rsidR="001237D1">
        <w:t xml:space="preserve"> USD $ </w:t>
      </w:r>
      <w:r w:rsidR="00607F93">
        <w:t>509.9</w:t>
      </w:r>
      <w:r w:rsidR="001237D1">
        <w:t xml:space="preserve"> Billion.</w:t>
      </w:r>
    </w:p>
    <w:p w14:paraId="008B88D2" w14:textId="24385555" w:rsidR="00E318E3" w:rsidRDefault="00E318E3" w:rsidP="00EC00CF"/>
    <w:p w14:paraId="1FA5E92C" w14:textId="7F2181C2" w:rsidR="00957C98" w:rsidRPr="00EC00CF" w:rsidRDefault="001237D1" w:rsidP="00632C1B">
      <w:pPr>
        <w:jc w:val="both"/>
      </w:pPr>
      <w:r>
        <w:rPr>
          <w:noProof/>
        </w:rPr>
        <w:t xml:space="preserve">In the </w:t>
      </w:r>
      <w:r w:rsidRPr="00A17E93">
        <w:rPr>
          <w:b/>
          <w:bCs/>
          <w:noProof/>
        </w:rPr>
        <w:t>Post Covid</w:t>
      </w:r>
      <w:r>
        <w:rPr>
          <w:noProof/>
        </w:rPr>
        <w:t xml:space="preserve"> scenario </w:t>
      </w:r>
      <w:r>
        <w:t xml:space="preserve">the total projected electricity demand decrease </w:t>
      </w:r>
      <w:proofErr w:type="gramStart"/>
      <w:r>
        <w:t>compare</w:t>
      </w:r>
      <w:proofErr w:type="gramEnd"/>
      <w:r>
        <w:t xml:space="preserve"> to </w:t>
      </w:r>
      <w:r w:rsidRPr="00632C1B">
        <w:t>reference (BAU) scenario</w:t>
      </w:r>
      <w:r w:rsidR="009A488E">
        <w:t xml:space="preserve">, furthermore in this scenario, the LEAP simulation is set to maintain a 35% reserve margin since the first </w:t>
      </w:r>
      <w:proofErr w:type="spellStart"/>
      <w:r w:rsidR="009A488E">
        <w:t>yeat</w:t>
      </w:r>
      <w:proofErr w:type="spellEnd"/>
      <w:r w:rsidR="009A488E">
        <w:t xml:space="preserve"> of simulation</w:t>
      </w:r>
      <w:r>
        <w:t xml:space="preserve">. </w:t>
      </w:r>
      <w:r w:rsidR="00E03FE3">
        <w:t xml:space="preserve">This scenario also purposely set to achieve the 2025 and 2038 renewable </w:t>
      </w:r>
      <w:proofErr w:type="spellStart"/>
      <w:proofErr w:type="gramStart"/>
      <w:r w:rsidR="00E03FE3">
        <w:t>target.</w:t>
      </w:r>
      <w:r w:rsidR="009A488E">
        <w:t>T</w:t>
      </w:r>
      <w:r>
        <w:t>he</w:t>
      </w:r>
      <w:proofErr w:type="spellEnd"/>
      <w:proofErr w:type="gramEnd"/>
      <w:r>
        <w:t xml:space="preserve"> demand in  2025 is 314.5 </w:t>
      </w:r>
      <w:proofErr w:type="spellStart"/>
      <w:r>
        <w:t>TWh</w:t>
      </w:r>
      <w:proofErr w:type="spellEnd"/>
      <w:r>
        <w:t xml:space="preserve">  while in 2038 will be 670.4 </w:t>
      </w:r>
      <w:proofErr w:type="spellStart"/>
      <w:r>
        <w:t>TWh</w:t>
      </w:r>
      <w:proofErr w:type="spellEnd"/>
      <w:r>
        <w:t xml:space="preserve">. In 2050 the total demand will reach 1427.3 </w:t>
      </w:r>
      <w:proofErr w:type="spellStart"/>
      <w:r>
        <w:t>TWh</w:t>
      </w:r>
      <w:proofErr w:type="spellEnd"/>
      <w:r>
        <w:t>.</w:t>
      </w:r>
      <w:r w:rsidR="009A488E">
        <w:t xml:space="preserve"> Based on the simulation,</w:t>
      </w:r>
      <w:r>
        <w:t xml:space="preserve"> total power generation capacity in 2025 will be </w:t>
      </w:r>
      <w:r w:rsidR="009F7049">
        <w:t>66.4</w:t>
      </w:r>
      <w:r>
        <w:t xml:space="preserve"> GW,</w:t>
      </w:r>
      <w:r w:rsidR="009A488E">
        <w:t xml:space="preserve"> </w:t>
      </w:r>
      <w:r>
        <w:t>with the energy mix consist of hydro (</w:t>
      </w:r>
      <w:r w:rsidR="009F7049">
        <w:t>10.22</w:t>
      </w:r>
      <w:r>
        <w:t>%), geothermal (</w:t>
      </w:r>
      <w:r w:rsidR="009F7049">
        <w:t>5.56</w:t>
      </w:r>
      <w:r>
        <w:t>%), biomass (0</w:t>
      </w:r>
      <w:r w:rsidR="009A488E">
        <w:t>.</w:t>
      </w:r>
      <w:r w:rsidR="009F7049">
        <w:t>64</w:t>
      </w:r>
      <w:r>
        <w:t xml:space="preserve">%), </w:t>
      </w:r>
      <w:proofErr w:type="spellStart"/>
      <w:r>
        <w:t>pv</w:t>
      </w:r>
      <w:proofErr w:type="spellEnd"/>
      <w:r>
        <w:t xml:space="preserve"> (0.</w:t>
      </w:r>
      <w:r w:rsidR="009F7049">
        <w:t>47</w:t>
      </w:r>
      <w:r>
        <w:t>%), wind and other renewable energy (</w:t>
      </w:r>
      <w:r w:rsidR="009A488E">
        <w:t>0.</w:t>
      </w:r>
      <w:r w:rsidR="009F7049">
        <w:t>57</w:t>
      </w:r>
      <w:r>
        <w:t>%), natural gas (</w:t>
      </w:r>
      <w:r w:rsidR="009F7049">
        <w:t>29.28</w:t>
      </w:r>
      <w:r>
        <w:t>%), coal (</w:t>
      </w:r>
      <w:r w:rsidR="009A488E">
        <w:t>5</w:t>
      </w:r>
      <w:r w:rsidR="009F7049">
        <w:t>1.52</w:t>
      </w:r>
      <w:r>
        <w:t>%), and oil (</w:t>
      </w:r>
      <w:r w:rsidR="009F7049">
        <w:t>1.74</w:t>
      </w:r>
      <w:r>
        <w:t xml:space="preserve">%). The total power generation in 2038 will be </w:t>
      </w:r>
      <w:r w:rsidR="009F7049">
        <w:t>150.8</w:t>
      </w:r>
      <w:r>
        <w:t xml:space="preserve"> GW, with the energy mix consist of hydro (</w:t>
      </w:r>
      <w:r w:rsidR="009F7049">
        <w:t>13.45</w:t>
      </w:r>
      <w:r>
        <w:t>%), geothermal (</w:t>
      </w:r>
      <w:r w:rsidR="009F7049">
        <w:t>9.91</w:t>
      </w:r>
      <w:r>
        <w:t>%), biomass (</w:t>
      </w:r>
      <w:r w:rsidR="009F7049">
        <w:t>1.77</w:t>
      </w:r>
      <w:r>
        <w:t xml:space="preserve">%), </w:t>
      </w:r>
      <w:proofErr w:type="spellStart"/>
      <w:r>
        <w:t>pv</w:t>
      </w:r>
      <w:proofErr w:type="spellEnd"/>
      <w:r>
        <w:t xml:space="preserve"> (</w:t>
      </w:r>
      <w:r w:rsidR="009F7049">
        <w:t>1.7</w:t>
      </w:r>
      <w:r>
        <w:t>%), wind and other renewable energy (</w:t>
      </w:r>
      <w:r w:rsidR="009F7049">
        <w:t>1.75</w:t>
      </w:r>
      <w:r>
        <w:t>%), natural gas (</w:t>
      </w:r>
      <w:r w:rsidR="009F7049">
        <w:t>24.83</w:t>
      </w:r>
      <w:r>
        <w:t>%), coal (</w:t>
      </w:r>
      <w:r w:rsidR="009F7049">
        <w:t>46.57</w:t>
      </w:r>
      <w:r>
        <w:t>%), and oil (</w:t>
      </w:r>
      <w:r w:rsidR="009F7049">
        <w:t>0.02</w:t>
      </w:r>
      <w:r>
        <w:t xml:space="preserve">%). The renewable energy percentage in 2025 and 2038 is </w:t>
      </w:r>
      <w:r w:rsidR="00E03FE3">
        <w:t>17.46</w:t>
      </w:r>
      <w:r>
        <w:t xml:space="preserve">% and </w:t>
      </w:r>
      <w:r w:rsidR="00E03FE3">
        <w:t>28.58</w:t>
      </w:r>
      <w:r>
        <w:t xml:space="preserve">%. The total investment cost that will be need to fund the power generation expansion for 2020 – 2050 will be USD $ </w:t>
      </w:r>
      <w:r w:rsidR="00607F93">
        <w:t xml:space="preserve">482.4 </w:t>
      </w:r>
      <w:r>
        <w:t>Billion.</w:t>
      </w:r>
    </w:p>
    <w:p w14:paraId="1DB554BE" w14:textId="192C95F7" w:rsidR="00DC69F1" w:rsidRDefault="00DC69F1" w:rsidP="003A6BA5">
      <w:pPr>
        <w:pStyle w:val="Heading2"/>
        <w:jc w:val="both"/>
        <w:rPr>
          <w:i w:val="0"/>
          <w:sz w:val="24"/>
          <w:szCs w:val="24"/>
        </w:rPr>
      </w:pPr>
      <w:r w:rsidRPr="00D767DA">
        <w:rPr>
          <w:i w:val="0"/>
          <w:sz w:val="24"/>
          <w:szCs w:val="24"/>
        </w:rPr>
        <w:t>Conclusions</w:t>
      </w:r>
    </w:p>
    <w:p w14:paraId="5E81F726" w14:textId="679EAC2D" w:rsidR="00632C1B" w:rsidRPr="00632C1B" w:rsidRDefault="00632C1B" w:rsidP="00632C1B">
      <w:pPr>
        <w:jc w:val="both"/>
      </w:pPr>
      <w:r w:rsidRPr="00632C1B">
        <w:t xml:space="preserve">Based on the simulation above we can see that </w:t>
      </w:r>
      <w:proofErr w:type="spellStart"/>
      <w:r w:rsidRPr="00632C1B">
        <w:t>Indonenesia</w:t>
      </w:r>
      <w:proofErr w:type="spellEnd"/>
      <w:r w:rsidRPr="00632C1B">
        <w:t xml:space="preserve"> current reserve margin is almost 80% as a result of reduced electricity demand and excess installed generating capacity. The 35000 MW program currently builds more coal plants, making it very difficult for Indonesia to achieve the renewable energy target of 21% by 2025. Meanwhile, for 2038, the renewable energy target of 28% is still very likely to be achieved. However, it is necessary to make massive efforts to replace diesel generators with renewable energy. Inappropriate planning in RUPTL, apart from causing the renewable energy target not to be achieved, also causes PLN to need more funds to invest in power plants. In the BAU scenario (which refers to RUPTL), a total cost of USD $ 509.9 billion is required until 2050 for the investment in power plants, whereas after proper planning the cost required is only USD $ 482.4 billion.</w:t>
      </w:r>
    </w:p>
    <w:p w14:paraId="74F4452D" w14:textId="77777777" w:rsidR="00DC69F1" w:rsidRPr="00D767DA" w:rsidRDefault="00DC69F1">
      <w:pPr>
        <w:pStyle w:val="Heading2"/>
        <w:rPr>
          <w:i w:val="0"/>
          <w:sz w:val="24"/>
          <w:szCs w:val="24"/>
        </w:rPr>
      </w:pPr>
      <w:r w:rsidRPr="00D767DA">
        <w:rPr>
          <w:i w:val="0"/>
          <w:sz w:val="24"/>
          <w:szCs w:val="24"/>
        </w:rPr>
        <w:t>References</w:t>
      </w:r>
    </w:p>
    <w:p w14:paraId="5A418701" w14:textId="318A13F6" w:rsidR="00632C1B" w:rsidRPr="00B97641" w:rsidRDefault="00632C1B" w:rsidP="00632C1B">
      <w:pPr>
        <w:widowControl w:val="0"/>
        <w:autoSpaceDE w:val="0"/>
        <w:autoSpaceDN w:val="0"/>
        <w:adjustRightInd w:val="0"/>
        <w:spacing w:after="200"/>
        <w:rPr>
          <w:noProof/>
          <w:szCs w:val="24"/>
        </w:rPr>
      </w:pPr>
      <w:r w:rsidRPr="00B97641">
        <w:rPr>
          <w:iCs/>
        </w:rPr>
        <w:fldChar w:fldCharType="begin" w:fldLock="1"/>
      </w:r>
      <w:r w:rsidRPr="00B97641">
        <w:rPr>
          <w:iCs/>
        </w:rPr>
        <w:instrText xml:space="preserve">ADDIN Mendeley Bibliography CSL_BIBLIOGRAPHY </w:instrText>
      </w:r>
      <w:r w:rsidRPr="00B97641">
        <w:rPr>
          <w:iCs/>
        </w:rPr>
        <w:fldChar w:fldCharType="separate"/>
      </w:r>
      <w:r w:rsidRPr="00B97641">
        <w:rPr>
          <w:noProof/>
          <w:szCs w:val="24"/>
        </w:rPr>
        <w:t xml:space="preserve">DEN (2020) </w:t>
      </w:r>
      <w:r w:rsidRPr="00B97641">
        <w:rPr>
          <w:i/>
          <w:iCs/>
          <w:noProof/>
          <w:szCs w:val="24"/>
        </w:rPr>
        <w:t>Dewan Energi Nasional | Berita</w:t>
      </w:r>
      <w:r w:rsidRPr="00B97641">
        <w:rPr>
          <w:noProof/>
          <w:szCs w:val="24"/>
        </w:rPr>
        <w:t>. Available at: https://www.den.go.id/index.php/dinamispage/index/909-pemutakhiran-pemetaan-potensi-krisis-energi-darurat-energi.html (Accessed: 25 March 2021).</w:t>
      </w:r>
    </w:p>
    <w:p w14:paraId="1EE51C23"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 xml:space="preserve">IEA (2019) ‘Southeast Asia Energy Outlook 2019 – Analysis’, </w:t>
      </w:r>
      <w:r w:rsidRPr="00B97641">
        <w:rPr>
          <w:i/>
          <w:iCs/>
          <w:noProof/>
          <w:szCs w:val="24"/>
        </w:rPr>
        <w:t>Iea</w:t>
      </w:r>
      <w:r w:rsidRPr="00B97641">
        <w:rPr>
          <w:noProof/>
          <w:szCs w:val="24"/>
        </w:rPr>
        <w:t>, (October).</w:t>
      </w:r>
    </w:p>
    <w:p w14:paraId="56753E55"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Iqlima Fuqoha and Kresnawan, M. R. (2021) ‘Covid-19 vs ASEAN Energy Sector: ELectricity Recap of 2020’, (June 2020), pp. 1–4.</w:t>
      </w:r>
    </w:p>
    <w:p w14:paraId="6AE537FD"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 xml:space="preserve">IRENA (2017) </w:t>
      </w:r>
      <w:r w:rsidRPr="00B97641">
        <w:rPr>
          <w:i/>
          <w:iCs/>
          <w:noProof/>
          <w:szCs w:val="24"/>
        </w:rPr>
        <w:t>Renewable Energy Prospects: Indonesia</w:t>
      </w:r>
      <w:r w:rsidRPr="00B97641">
        <w:rPr>
          <w:noProof/>
          <w:szCs w:val="24"/>
        </w:rPr>
        <w:t xml:space="preserve">, </w:t>
      </w:r>
      <w:r w:rsidRPr="00B97641">
        <w:rPr>
          <w:i/>
          <w:iCs/>
          <w:noProof/>
          <w:szCs w:val="24"/>
        </w:rPr>
        <w:t>International Renewable Energy Agency (IRENA)</w:t>
      </w:r>
      <w:r w:rsidRPr="00B97641">
        <w:rPr>
          <w:noProof/>
          <w:szCs w:val="24"/>
        </w:rPr>
        <w:t>. Available at: http://www.irena.org/remap.</w:t>
      </w:r>
    </w:p>
    <w:p w14:paraId="76A1E170"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 xml:space="preserve">IRENA (2020) </w:t>
      </w:r>
      <w:r w:rsidRPr="00B97641">
        <w:rPr>
          <w:i/>
          <w:iCs/>
          <w:noProof/>
          <w:szCs w:val="24"/>
        </w:rPr>
        <w:t>Renewable Power Generation Costs in 2019</w:t>
      </w:r>
      <w:r w:rsidRPr="00B97641">
        <w:rPr>
          <w:noProof/>
          <w:szCs w:val="24"/>
        </w:rPr>
        <w:t xml:space="preserve">, </w:t>
      </w:r>
      <w:r w:rsidRPr="00B97641">
        <w:rPr>
          <w:i/>
          <w:iCs/>
          <w:noProof/>
          <w:szCs w:val="24"/>
        </w:rPr>
        <w:t>IRENA</w:t>
      </w:r>
      <w:r w:rsidRPr="00B97641">
        <w:rPr>
          <w:noProof/>
          <w:szCs w:val="24"/>
        </w:rPr>
        <w:t>. Available at: https://www.irena.org/-/media/Files/IRENA/Agency/Publication/2018/Jan/IRENA_2017_Power_Costs_2018.pdf.</w:t>
      </w:r>
    </w:p>
    <w:p w14:paraId="3B5281B2"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 xml:space="preserve">Kurniawan, R. </w:t>
      </w:r>
      <w:r w:rsidRPr="00B97641">
        <w:rPr>
          <w:i/>
          <w:iCs/>
          <w:noProof/>
          <w:szCs w:val="24"/>
        </w:rPr>
        <w:t>et al.</w:t>
      </w:r>
      <w:r w:rsidRPr="00B97641">
        <w:rPr>
          <w:noProof/>
          <w:szCs w:val="24"/>
        </w:rPr>
        <w:t xml:space="preserve"> (2020) ‘Understanding the multi-faceted drivers of increasing coal consumption in Indonesia’, </w:t>
      </w:r>
      <w:r w:rsidRPr="00B97641">
        <w:rPr>
          <w:i/>
          <w:iCs/>
          <w:noProof/>
          <w:szCs w:val="24"/>
        </w:rPr>
        <w:t>Energies</w:t>
      </w:r>
      <w:r w:rsidRPr="00B97641">
        <w:rPr>
          <w:noProof/>
          <w:szCs w:val="24"/>
        </w:rPr>
        <w:t>, 13(14), pp. 1–22. doi: 10.3390/en13143660.</w:t>
      </w:r>
    </w:p>
    <w:p w14:paraId="674654D1"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MEMR (2016) ‘First Nationally Determined Contribution Submitted to UNFCCC’, (November 2016). Available at: https://www4.unfccc.int/sites/ndcstaging/PublishedDocuments/Indonesia First/First NDC Indonesia_submitted to UNFCCC Set_November  2016.pdf.</w:t>
      </w:r>
    </w:p>
    <w:p w14:paraId="1030B6E3" w14:textId="77777777" w:rsidR="00632C1B" w:rsidRPr="00B97641" w:rsidRDefault="00632C1B" w:rsidP="00632C1B">
      <w:pPr>
        <w:widowControl w:val="0"/>
        <w:autoSpaceDE w:val="0"/>
        <w:autoSpaceDN w:val="0"/>
        <w:adjustRightInd w:val="0"/>
        <w:spacing w:after="200"/>
        <w:rPr>
          <w:noProof/>
          <w:szCs w:val="24"/>
        </w:rPr>
      </w:pPr>
      <w:r w:rsidRPr="00B97641">
        <w:rPr>
          <w:noProof/>
          <w:szCs w:val="24"/>
        </w:rPr>
        <w:t>PLN (2019a) ‘Electric Power Supply Business Plan (2019-2028)’. Available at: http://gatrik.esdm.go.id/assets/uploads/download_index/files/5b16d-kepmen-esdm-no.-39-k-20-mem-2019-tentang-pengesahan-ruptl-pt-pln-2019-2028.pdf.</w:t>
      </w:r>
    </w:p>
    <w:p w14:paraId="6F2116B4" w14:textId="5A8F038E" w:rsidR="00DC69F1" w:rsidRPr="00632C1B" w:rsidRDefault="00632C1B" w:rsidP="00632C1B">
      <w:pPr>
        <w:pStyle w:val="BodyText2"/>
        <w:spacing w:after="200"/>
        <w:ind w:firstLine="0"/>
        <w:rPr>
          <w:iCs/>
        </w:rPr>
      </w:pPr>
      <w:r w:rsidRPr="00B97641">
        <w:rPr>
          <w:iCs/>
        </w:rPr>
        <w:fldChar w:fldCharType="end"/>
      </w:r>
    </w:p>
    <w:sectPr w:rsidR="00DC69F1" w:rsidRPr="00632C1B"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5B42" w14:textId="77777777" w:rsidR="00EB672D" w:rsidRDefault="00EB672D">
      <w:r>
        <w:separator/>
      </w:r>
    </w:p>
  </w:endnote>
  <w:endnote w:type="continuationSeparator" w:id="0">
    <w:p w14:paraId="3AAEA757" w14:textId="77777777" w:rsidR="00EB672D" w:rsidRDefault="00EB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A1A79" w14:textId="77777777" w:rsidR="00EB672D" w:rsidRDefault="00EB672D">
      <w:r>
        <w:separator/>
      </w:r>
    </w:p>
  </w:footnote>
  <w:footnote w:type="continuationSeparator" w:id="0">
    <w:p w14:paraId="73B9F9E2" w14:textId="77777777" w:rsidR="00EB672D" w:rsidRDefault="00EB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0890"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3E25612">
      <w:start w:val="1"/>
      <w:numFmt w:val="bullet"/>
      <w:lvlText w:val=""/>
      <w:lvlJc w:val="left"/>
      <w:pPr>
        <w:tabs>
          <w:tab w:val="num" w:pos="720"/>
        </w:tabs>
        <w:ind w:left="720" w:hanging="360"/>
      </w:pPr>
      <w:rPr>
        <w:rFonts w:ascii="Symbol" w:hAnsi="Symbol" w:hint="default"/>
      </w:rPr>
    </w:lvl>
    <w:lvl w:ilvl="1" w:tplc="719CD4DE">
      <w:start w:val="1"/>
      <w:numFmt w:val="bullet"/>
      <w:lvlText w:val="o"/>
      <w:lvlJc w:val="left"/>
      <w:pPr>
        <w:tabs>
          <w:tab w:val="num" w:pos="1440"/>
        </w:tabs>
        <w:ind w:left="1440" w:hanging="360"/>
      </w:pPr>
      <w:rPr>
        <w:rFonts w:ascii="Courier New" w:hAnsi="Courier New" w:hint="default"/>
      </w:rPr>
    </w:lvl>
    <w:lvl w:ilvl="2" w:tplc="0A8ACE3C" w:tentative="1">
      <w:start w:val="1"/>
      <w:numFmt w:val="bullet"/>
      <w:lvlText w:val=""/>
      <w:lvlJc w:val="left"/>
      <w:pPr>
        <w:tabs>
          <w:tab w:val="num" w:pos="2160"/>
        </w:tabs>
        <w:ind w:left="2160" w:hanging="360"/>
      </w:pPr>
      <w:rPr>
        <w:rFonts w:ascii="Wingdings" w:hAnsi="Wingdings" w:hint="default"/>
      </w:rPr>
    </w:lvl>
    <w:lvl w:ilvl="3" w:tplc="7DA8FB00" w:tentative="1">
      <w:start w:val="1"/>
      <w:numFmt w:val="bullet"/>
      <w:lvlText w:val=""/>
      <w:lvlJc w:val="left"/>
      <w:pPr>
        <w:tabs>
          <w:tab w:val="num" w:pos="2880"/>
        </w:tabs>
        <w:ind w:left="2880" w:hanging="360"/>
      </w:pPr>
      <w:rPr>
        <w:rFonts w:ascii="Symbol" w:hAnsi="Symbol" w:hint="default"/>
      </w:rPr>
    </w:lvl>
    <w:lvl w:ilvl="4" w:tplc="B0BC8F0A" w:tentative="1">
      <w:start w:val="1"/>
      <w:numFmt w:val="bullet"/>
      <w:lvlText w:val="o"/>
      <w:lvlJc w:val="left"/>
      <w:pPr>
        <w:tabs>
          <w:tab w:val="num" w:pos="3600"/>
        </w:tabs>
        <w:ind w:left="3600" w:hanging="360"/>
      </w:pPr>
      <w:rPr>
        <w:rFonts w:ascii="Courier New" w:hAnsi="Courier New" w:hint="default"/>
      </w:rPr>
    </w:lvl>
    <w:lvl w:ilvl="5" w:tplc="0010ACFE" w:tentative="1">
      <w:start w:val="1"/>
      <w:numFmt w:val="bullet"/>
      <w:lvlText w:val=""/>
      <w:lvlJc w:val="left"/>
      <w:pPr>
        <w:tabs>
          <w:tab w:val="num" w:pos="4320"/>
        </w:tabs>
        <w:ind w:left="4320" w:hanging="360"/>
      </w:pPr>
      <w:rPr>
        <w:rFonts w:ascii="Wingdings" w:hAnsi="Wingdings" w:hint="default"/>
      </w:rPr>
    </w:lvl>
    <w:lvl w:ilvl="6" w:tplc="2FECD69A" w:tentative="1">
      <w:start w:val="1"/>
      <w:numFmt w:val="bullet"/>
      <w:lvlText w:val=""/>
      <w:lvlJc w:val="left"/>
      <w:pPr>
        <w:tabs>
          <w:tab w:val="num" w:pos="5040"/>
        </w:tabs>
        <w:ind w:left="5040" w:hanging="360"/>
      </w:pPr>
      <w:rPr>
        <w:rFonts w:ascii="Symbol" w:hAnsi="Symbol" w:hint="default"/>
      </w:rPr>
    </w:lvl>
    <w:lvl w:ilvl="7" w:tplc="92EAB146" w:tentative="1">
      <w:start w:val="1"/>
      <w:numFmt w:val="bullet"/>
      <w:lvlText w:val="o"/>
      <w:lvlJc w:val="left"/>
      <w:pPr>
        <w:tabs>
          <w:tab w:val="num" w:pos="5760"/>
        </w:tabs>
        <w:ind w:left="5760" w:hanging="360"/>
      </w:pPr>
      <w:rPr>
        <w:rFonts w:ascii="Courier New" w:hAnsi="Courier New" w:hint="default"/>
      </w:rPr>
    </w:lvl>
    <w:lvl w:ilvl="8" w:tplc="4DE487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6885B38">
      <w:start w:val="1"/>
      <w:numFmt w:val="lowerRoman"/>
      <w:lvlText w:val="%1.)"/>
      <w:lvlJc w:val="left"/>
      <w:pPr>
        <w:tabs>
          <w:tab w:val="num" w:pos="540"/>
        </w:tabs>
        <w:ind w:left="255" w:hanging="435"/>
      </w:pPr>
      <w:rPr>
        <w:rFonts w:hint="default"/>
      </w:rPr>
    </w:lvl>
    <w:lvl w:ilvl="1" w:tplc="F8B6157E" w:tentative="1">
      <w:start w:val="1"/>
      <w:numFmt w:val="lowerLetter"/>
      <w:lvlText w:val="%2."/>
      <w:lvlJc w:val="left"/>
      <w:pPr>
        <w:tabs>
          <w:tab w:val="num" w:pos="1260"/>
        </w:tabs>
        <w:ind w:left="1260" w:hanging="360"/>
      </w:pPr>
    </w:lvl>
    <w:lvl w:ilvl="2" w:tplc="C2F2349E" w:tentative="1">
      <w:start w:val="1"/>
      <w:numFmt w:val="lowerRoman"/>
      <w:lvlText w:val="%3."/>
      <w:lvlJc w:val="right"/>
      <w:pPr>
        <w:tabs>
          <w:tab w:val="num" w:pos="1980"/>
        </w:tabs>
        <w:ind w:left="1980" w:hanging="180"/>
      </w:pPr>
    </w:lvl>
    <w:lvl w:ilvl="3" w:tplc="E278B53E" w:tentative="1">
      <w:start w:val="1"/>
      <w:numFmt w:val="decimal"/>
      <w:lvlText w:val="%4."/>
      <w:lvlJc w:val="left"/>
      <w:pPr>
        <w:tabs>
          <w:tab w:val="num" w:pos="2700"/>
        </w:tabs>
        <w:ind w:left="2700" w:hanging="360"/>
      </w:pPr>
    </w:lvl>
    <w:lvl w:ilvl="4" w:tplc="83086540" w:tentative="1">
      <w:start w:val="1"/>
      <w:numFmt w:val="lowerLetter"/>
      <w:lvlText w:val="%5."/>
      <w:lvlJc w:val="left"/>
      <w:pPr>
        <w:tabs>
          <w:tab w:val="num" w:pos="3420"/>
        </w:tabs>
        <w:ind w:left="3420" w:hanging="360"/>
      </w:pPr>
    </w:lvl>
    <w:lvl w:ilvl="5" w:tplc="BBEA909A" w:tentative="1">
      <w:start w:val="1"/>
      <w:numFmt w:val="lowerRoman"/>
      <w:lvlText w:val="%6."/>
      <w:lvlJc w:val="right"/>
      <w:pPr>
        <w:tabs>
          <w:tab w:val="num" w:pos="4140"/>
        </w:tabs>
        <w:ind w:left="4140" w:hanging="180"/>
      </w:pPr>
    </w:lvl>
    <w:lvl w:ilvl="6" w:tplc="E588422E" w:tentative="1">
      <w:start w:val="1"/>
      <w:numFmt w:val="decimal"/>
      <w:lvlText w:val="%7."/>
      <w:lvlJc w:val="left"/>
      <w:pPr>
        <w:tabs>
          <w:tab w:val="num" w:pos="4860"/>
        </w:tabs>
        <w:ind w:left="4860" w:hanging="360"/>
      </w:pPr>
    </w:lvl>
    <w:lvl w:ilvl="7" w:tplc="2C844AEC" w:tentative="1">
      <w:start w:val="1"/>
      <w:numFmt w:val="lowerLetter"/>
      <w:lvlText w:val="%8."/>
      <w:lvlJc w:val="left"/>
      <w:pPr>
        <w:tabs>
          <w:tab w:val="num" w:pos="5580"/>
        </w:tabs>
        <w:ind w:left="5580" w:hanging="360"/>
      </w:pPr>
    </w:lvl>
    <w:lvl w:ilvl="8" w:tplc="A5B2178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ABA6E8A">
      <w:start w:val="1"/>
      <w:numFmt w:val="bullet"/>
      <w:lvlText w:val=""/>
      <w:lvlJc w:val="left"/>
      <w:pPr>
        <w:tabs>
          <w:tab w:val="num" w:pos="720"/>
        </w:tabs>
        <w:ind w:left="720" w:hanging="360"/>
      </w:pPr>
      <w:rPr>
        <w:rFonts w:ascii="Symbol" w:hAnsi="Symbol" w:hint="default"/>
      </w:rPr>
    </w:lvl>
    <w:lvl w:ilvl="1" w:tplc="43F45778" w:tentative="1">
      <w:start w:val="1"/>
      <w:numFmt w:val="bullet"/>
      <w:lvlText w:val="o"/>
      <w:lvlJc w:val="left"/>
      <w:pPr>
        <w:tabs>
          <w:tab w:val="num" w:pos="1440"/>
        </w:tabs>
        <w:ind w:left="1440" w:hanging="360"/>
      </w:pPr>
      <w:rPr>
        <w:rFonts w:ascii="Courier New" w:hAnsi="Courier New" w:hint="default"/>
      </w:rPr>
    </w:lvl>
    <w:lvl w:ilvl="2" w:tplc="FE383FE8" w:tentative="1">
      <w:start w:val="1"/>
      <w:numFmt w:val="bullet"/>
      <w:lvlText w:val=""/>
      <w:lvlJc w:val="left"/>
      <w:pPr>
        <w:tabs>
          <w:tab w:val="num" w:pos="2160"/>
        </w:tabs>
        <w:ind w:left="2160" w:hanging="360"/>
      </w:pPr>
      <w:rPr>
        <w:rFonts w:ascii="Wingdings" w:hAnsi="Wingdings" w:hint="default"/>
      </w:rPr>
    </w:lvl>
    <w:lvl w:ilvl="3" w:tplc="0DCCA4A6" w:tentative="1">
      <w:start w:val="1"/>
      <w:numFmt w:val="bullet"/>
      <w:lvlText w:val=""/>
      <w:lvlJc w:val="left"/>
      <w:pPr>
        <w:tabs>
          <w:tab w:val="num" w:pos="2880"/>
        </w:tabs>
        <w:ind w:left="2880" w:hanging="360"/>
      </w:pPr>
      <w:rPr>
        <w:rFonts w:ascii="Symbol" w:hAnsi="Symbol" w:hint="default"/>
      </w:rPr>
    </w:lvl>
    <w:lvl w:ilvl="4" w:tplc="E982D902" w:tentative="1">
      <w:start w:val="1"/>
      <w:numFmt w:val="bullet"/>
      <w:lvlText w:val="o"/>
      <w:lvlJc w:val="left"/>
      <w:pPr>
        <w:tabs>
          <w:tab w:val="num" w:pos="3600"/>
        </w:tabs>
        <w:ind w:left="3600" w:hanging="360"/>
      </w:pPr>
      <w:rPr>
        <w:rFonts w:ascii="Courier New" w:hAnsi="Courier New" w:hint="default"/>
      </w:rPr>
    </w:lvl>
    <w:lvl w:ilvl="5" w:tplc="CF6AC45A" w:tentative="1">
      <w:start w:val="1"/>
      <w:numFmt w:val="bullet"/>
      <w:lvlText w:val=""/>
      <w:lvlJc w:val="left"/>
      <w:pPr>
        <w:tabs>
          <w:tab w:val="num" w:pos="4320"/>
        </w:tabs>
        <w:ind w:left="4320" w:hanging="360"/>
      </w:pPr>
      <w:rPr>
        <w:rFonts w:ascii="Wingdings" w:hAnsi="Wingdings" w:hint="default"/>
      </w:rPr>
    </w:lvl>
    <w:lvl w:ilvl="6" w:tplc="60840D66" w:tentative="1">
      <w:start w:val="1"/>
      <w:numFmt w:val="bullet"/>
      <w:lvlText w:val=""/>
      <w:lvlJc w:val="left"/>
      <w:pPr>
        <w:tabs>
          <w:tab w:val="num" w:pos="5040"/>
        </w:tabs>
        <w:ind w:left="5040" w:hanging="360"/>
      </w:pPr>
      <w:rPr>
        <w:rFonts w:ascii="Symbol" w:hAnsi="Symbol" w:hint="default"/>
      </w:rPr>
    </w:lvl>
    <w:lvl w:ilvl="7" w:tplc="44E0A54A" w:tentative="1">
      <w:start w:val="1"/>
      <w:numFmt w:val="bullet"/>
      <w:lvlText w:val="o"/>
      <w:lvlJc w:val="left"/>
      <w:pPr>
        <w:tabs>
          <w:tab w:val="num" w:pos="5760"/>
        </w:tabs>
        <w:ind w:left="5760" w:hanging="360"/>
      </w:pPr>
      <w:rPr>
        <w:rFonts w:ascii="Courier New" w:hAnsi="Courier New" w:hint="default"/>
      </w:rPr>
    </w:lvl>
    <w:lvl w:ilvl="8" w:tplc="946EA7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87A4D44">
      <w:start w:val="1"/>
      <w:numFmt w:val="lowerRoman"/>
      <w:lvlText w:val="%1.)"/>
      <w:lvlJc w:val="left"/>
      <w:pPr>
        <w:tabs>
          <w:tab w:val="num" w:pos="720"/>
        </w:tabs>
        <w:ind w:left="435" w:hanging="435"/>
      </w:pPr>
      <w:rPr>
        <w:rFonts w:hint="default"/>
      </w:rPr>
    </w:lvl>
    <w:lvl w:ilvl="1" w:tplc="B498E134">
      <w:start w:val="8"/>
      <w:numFmt w:val="decimal"/>
      <w:lvlText w:val="%2."/>
      <w:lvlJc w:val="left"/>
      <w:pPr>
        <w:tabs>
          <w:tab w:val="num" w:pos="1080"/>
        </w:tabs>
        <w:ind w:left="1080" w:hanging="360"/>
      </w:pPr>
      <w:rPr>
        <w:rFonts w:hint="default"/>
      </w:rPr>
    </w:lvl>
    <w:lvl w:ilvl="2" w:tplc="31BEBAC4" w:tentative="1">
      <w:start w:val="1"/>
      <w:numFmt w:val="lowerRoman"/>
      <w:lvlText w:val="%3."/>
      <w:lvlJc w:val="right"/>
      <w:pPr>
        <w:tabs>
          <w:tab w:val="num" w:pos="1800"/>
        </w:tabs>
        <w:ind w:left="1800" w:hanging="180"/>
      </w:pPr>
    </w:lvl>
    <w:lvl w:ilvl="3" w:tplc="A29CC1FA" w:tentative="1">
      <w:start w:val="1"/>
      <w:numFmt w:val="decimal"/>
      <w:lvlText w:val="%4."/>
      <w:lvlJc w:val="left"/>
      <w:pPr>
        <w:tabs>
          <w:tab w:val="num" w:pos="2520"/>
        </w:tabs>
        <w:ind w:left="2520" w:hanging="360"/>
      </w:pPr>
    </w:lvl>
    <w:lvl w:ilvl="4" w:tplc="2BE41FAA" w:tentative="1">
      <w:start w:val="1"/>
      <w:numFmt w:val="lowerLetter"/>
      <w:lvlText w:val="%5."/>
      <w:lvlJc w:val="left"/>
      <w:pPr>
        <w:tabs>
          <w:tab w:val="num" w:pos="3240"/>
        </w:tabs>
        <w:ind w:left="3240" w:hanging="360"/>
      </w:pPr>
    </w:lvl>
    <w:lvl w:ilvl="5" w:tplc="1C7E651E" w:tentative="1">
      <w:start w:val="1"/>
      <w:numFmt w:val="lowerRoman"/>
      <w:lvlText w:val="%6."/>
      <w:lvlJc w:val="right"/>
      <w:pPr>
        <w:tabs>
          <w:tab w:val="num" w:pos="3960"/>
        </w:tabs>
        <w:ind w:left="3960" w:hanging="180"/>
      </w:pPr>
    </w:lvl>
    <w:lvl w:ilvl="6" w:tplc="8586FF04" w:tentative="1">
      <w:start w:val="1"/>
      <w:numFmt w:val="decimal"/>
      <w:lvlText w:val="%7."/>
      <w:lvlJc w:val="left"/>
      <w:pPr>
        <w:tabs>
          <w:tab w:val="num" w:pos="4680"/>
        </w:tabs>
        <w:ind w:left="4680" w:hanging="360"/>
      </w:pPr>
    </w:lvl>
    <w:lvl w:ilvl="7" w:tplc="C80AC516" w:tentative="1">
      <w:start w:val="1"/>
      <w:numFmt w:val="lowerLetter"/>
      <w:lvlText w:val="%8."/>
      <w:lvlJc w:val="left"/>
      <w:pPr>
        <w:tabs>
          <w:tab w:val="num" w:pos="5400"/>
        </w:tabs>
        <w:ind w:left="5400" w:hanging="360"/>
      </w:pPr>
    </w:lvl>
    <w:lvl w:ilvl="8" w:tplc="7884ED7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7E2E1320">
      <w:start w:val="1"/>
      <w:numFmt w:val="lowerLetter"/>
      <w:lvlText w:val="%1)"/>
      <w:lvlJc w:val="left"/>
      <w:pPr>
        <w:tabs>
          <w:tab w:val="num" w:pos="720"/>
        </w:tabs>
        <w:ind w:left="720" w:hanging="360"/>
      </w:pPr>
    </w:lvl>
    <w:lvl w:ilvl="1" w:tplc="FDBE1CDC" w:tentative="1">
      <w:start w:val="1"/>
      <w:numFmt w:val="lowerLetter"/>
      <w:lvlText w:val="%2."/>
      <w:lvlJc w:val="left"/>
      <w:pPr>
        <w:tabs>
          <w:tab w:val="num" w:pos="1440"/>
        </w:tabs>
        <w:ind w:left="1440" w:hanging="360"/>
      </w:pPr>
    </w:lvl>
    <w:lvl w:ilvl="2" w:tplc="72EA08C6" w:tentative="1">
      <w:start w:val="1"/>
      <w:numFmt w:val="lowerRoman"/>
      <w:lvlText w:val="%3."/>
      <w:lvlJc w:val="right"/>
      <w:pPr>
        <w:tabs>
          <w:tab w:val="num" w:pos="2160"/>
        </w:tabs>
        <w:ind w:left="2160" w:hanging="180"/>
      </w:pPr>
    </w:lvl>
    <w:lvl w:ilvl="3" w:tplc="0CC08562" w:tentative="1">
      <w:start w:val="1"/>
      <w:numFmt w:val="decimal"/>
      <w:lvlText w:val="%4."/>
      <w:lvlJc w:val="left"/>
      <w:pPr>
        <w:tabs>
          <w:tab w:val="num" w:pos="2880"/>
        </w:tabs>
        <w:ind w:left="2880" w:hanging="360"/>
      </w:pPr>
    </w:lvl>
    <w:lvl w:ilvl="4" w:tplc="63DA2E54" w:tentative="1">
      <w:start w:val="1"/>
      <w:numFmt w:val="lowerLetter"/>
      <w:lvlText w:val="%5."/>
      <w:lvlJc w:val="left"/>
      <w:pPr>
        <w:tabs>
          <w:tab w:val="num" w:pos="3600"/>
        </w:tabs>
        <w:ind w:left="3600" w:hanging="360"/>
      </w:pPr>
    </w:lvl>
    <w:lvl w:ilvl="5" w:tplc="C7B2B5D0" w:tentative="1">
      <w:start w:val="1"/>
      <w:numFmt w:val="lowerRoman"/>
      <w:lvlText w:val="%6."/>
      <w:lvlJc w:val="right"/>
      <w:pPr>
        <w:tabs>
          <w:tab w:val="num" w:pos="4320"/>
        </w:tabs>
        <w:ind w:left="4320" w:hanging="180"/>
      </w:pPr>
    </w:lvl>
    <w:lvl w:ilvl="6" w:tplc="602CF0F4" w:tentative="1">
      <w:start w:val="1"/>
      <w:numFmt w:val="decimal"/>
      <w:lvlText w:val="%7."/>
      <w:lvlJc w:val="left"/>
      <w:pPr>
        <w:tabs>
          <w:tab w:val="num" w:pos="5040"/>
        </w:tabs>
        <w:ind w:left="5040" w:hanging="360"/>
      </w:pPr>
    </w:lvl>
    <w:lvl w:ilvl="7" w:tplc="714AA1E0" w:tentative="1">
      <w:start w:val="1"/>
      <w:numFmt w:val="lowerLetter"/>
      <w:lvlText w:val="%8."/>
      <w:lvlJc w:val="left"/>
      <w:pPr>
        <w:tabs>
          <w:tab w:val="num" w:pos="5760"/>
        </w:tabs>
        <w:ind w:left="5760" w:hanging="360"/>
      </w:pPr>
    </w:lvl>
    <w:lvl w:ilvl="8" w:tplc="93C09A2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0C21686">
      <w:start w:val="1"/>
      <w:numFmt w:val="lowerRoman"/>
      <w:lvlText w:val="%1.)"/>
      <w:lvlJc w:val="left"/>
      <w:pPr>
        <w:tabs>
          <w:tab w:val="num" w:pos="720"/>
        </w:tabs>
        <w:ind w:left="435" w:hanging="435"/>
      </w:pPr>
      <w:rPr>
        <w:rFonts w:hint="default"/>
      </w:rPr>
    </w:lvl>
    <w:lvl w:ilvl="1" w:tplc="69568F0C" w:tentative="1">
      <w:start w:val="1"/>
      <w:numFmt w:val="lowerLetter"/>
      <w:lvlText w:val="%2."/>
      <w:lvlJc w:val="left"/>
      <w:pPr>
        <w:tabs>
          <w:tab w:val="num" w:pos="1440"/>
        </w:tabs>
        <w:ind w:left="1440" w:hanging="360"/>
      </w:pPr>
    </w:lvl>
    <w:lvl w:ilvl="2" w:tplc="3E549AE2" w:tentative="1">
      <w:start w:val="1"/>
      <w:numFmt w:val="lowerRoman"/>
      <w:lvlText w:val="%3."/>
      <w:lvlJc w:val="right"/>
      <w:pPr>
        <w:tabs>
          <w:tab w:val="num" w:pos="2160"/>
        </w:tabs>
        <w:ind w:left="2160" w:hanging="180"/>
      </w:pPr>
    </w:lvl>
    <w:lvl w:ilvl="3" w:tplc="4008FDCA" w:tentative="1">
      <w:start w:val="1"/>
      <w:numFmt w:val="decimal"/>
      <w:lvlText w:val="%4."/>
      <w:lvlJc w:val="left"/>
      <w:pPr>
        <w:tabs>
          <w:tab w:val="num" w:pos="2880"/>
        </w:tabs>
        <w:ind w:left="2880" w:hanging="360"/>
      </w:pPr>
    </w:lvl>
    <w:lvl w:ilvl="4" w:tplc="EBC0ACD6" w:tentative="1">
      <w:start w:val="1"/>
      <w:numFmt w:val="lowerLetter"/>
      <w:lvlText w:val="%5."/>
      <w:lvlJc w:val="left"/>
      <w:pPr>
        <w:tabs>
          <w:tab w:val="num" w:pos="3600"/>
        </w:tabs>
        <w:ind w:left="3600" w:hanging="360"/>
      </w:pPr>
    </w:lvl>
    <w:lvl w:ilvl="5" w:tplc="37C622DE" w:tentative="1">
      <w:start w:val="1"/>
      <w:numFmt w:val="lowerRoman"/>
      <w:lvlText w:val="%6."/>
      <w:lvlJc w:val="right"/>
      <w:pPr>
        <w:tabs>
          <w:tab w:val="num" w:pos="4320"/>
        </w:tabs>
        <w:ind w:left="4320" w:hanging="180"/>
      </w:pPr>
    </w:lvl>
    <w:lvl w:ilvl="6" w:tplc="214257DE" w:tentative="1">
      <w:start w:val="1"/>
      <w:numFmt w:val="decimal"/>
      <w:lvlText w:val="%7."/>
      <w:lvlJc w:val="left"/>
      <w:pPr>
        <w:tabs>
          <w:tab w:val="num" w:pos="5040"/>
        </w:tabs>
        <w:ind w:left="5040" w:hanging="360"/>
      </w:pPr>
    </w:lvl>
    <w:lvl w:ilvl="7" w:tplc="745A315C" w:tentative="1">
      <w:start w:val="1"/>
      <w:numFmt w:val="lowerLetter"/>
      <w:lvlText w:val="%8."/>
      <w:lvlJc w:val="left"/>
      <w:pPr>
        <w:tabs>
          <w:tab w:val="num" w:pos="5760"/>
        </w:tabs>
        <w:ind w:left="5760" w:hanging="360"/>
      </w:pPr>
    </w:lvl>
    <w:lvl w:ilvl="8" w:tplc="191C928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C923058">
      <w:start w:val="1"/>
      <w:numFmt w:val="bullet"/>
      <w:lvlText w:val=""/>
      <w:lvlJc w:val="left"/>
      <w:pPr>
        <w:tabs>
          <w:tab w:val="num" w:pos="720"/>
        </w:tabs>
        <w:ind w:left="720" w:hanging="360"/>
      </w:pPr>
      <w:rPr>
        <w:rFonts w:ascii="Symbol" w:hAnsi="Symbol" w:hint="default"/>
      </w:rPr>
    </w:lvl>
    <w:lvl w:ilvl="1" w:tplc="F0988E84" w:tentative="1">
      <w:start w:val="1"/>
      <w:numFmt w:val="bullet"/>
      <w:lvlText w:val="o"/>
      <w:lvlJc w:val="left"/>
      <w:pPr>
        <w:tabs>
          <w:tab w:val="num" w:pos="1440"/>
        </w:tabs>
        <w:ind w:left="1440" w:hanging="360"/>
      </w:pPr>
      <w:rPr>
        <w:rFonts w:ascii="Courier New" w:hAnsi="Courier New" w:hint="default"/>
      </w:rPr>
    </w:lvl>
    <w:lvl w:ilvl="2" w:tplc="EDFA4144" w:tentative="1">
      <w:start w:val="1"/>
      <w:numFmt w:val="bullet"/>
      <w:lvlText w:val=""/>
      <w:lvlJc w:val="left"/>
      <w:pPr>
        <w:tabs>
          <w:tab w:val="num" w:pos="2160"/>
        </w:tabs>
        <w:ind w:left="2160" w:hanging="360"/>
      </w:pPr>
      <w:rPr>
        <w:rFonts w:ascii="Wingdings" w:hAnsi="Wingdings" w:hint="default"/>
      </w:rPr>
    </w:lvl>
    <w:lvl w:ilvl="3" w:tplc="344A87F4" w:tentative="1">
      <w:start w:val="1"/>
      <w:numFmt w:val="bullet"/>
      <w:lvlText w:val=""/>
      <w:lvlJc w:val="left"/>
      <w:pPr>
        <w:tabs>
          <w:tab w:val="num" w:pos="2880"/>
        </w:tabs>
        <w:ind w:left="2880" w:hanging="360"/>
      </w:pPr>
      <w:rPr>
        <w:rFonts w:ascii="Symbol" w:hAnsi="Symbol" w:hint="default"/>
      </w:rPr>
    </w:lvl>
    <w:lvl w:ilvl="4" w:tplc="020865E0" w:tentative="1">
      <w:start w:val="1"/>
      <w:numFmt w:val="bullet"/>
      <w:lvlText w:val="o"/>
      <w:lvlJc w:val="left"/>
      <w:pPr>
        <w:tabs>
          <w:tab w:val="num" w:pos="3600"/>
        </w:tabs>
        <w:ind w:left="3600" w:hanging="360"/>
      </w:pPr>
      <w:rPr>
        <w:rFonts w:ascii="Courier New" w:hAnsi="Courier New" w:hint="default"/>
      </w:rPr>
    </w:lvl>
    <w:lvl w:ilvl="5" w:tplc="C3C605C0" w:tentative="1">
      <w:start w:val="1"/>
      <w:numFmt w:val="bullet"/>
      <w:lvlText w:val=""/>
      <w:lvlJc w:val="left"/>
      <w:pPr>
        <w:tabs>
          <w:tab w:val="num" w:pos="4320"/>
        </w:tabs>
        <w:ind w:left="4320" w:hanging="360"/>
      </w:pPr>
      <w:rPr>
        <w:rFonts w:ascii="Wingdings" w:hAnsi="Wingdings" w:hint="default"/>
      </w:rPr>
    </w:lvl>
    <w:lvl w:ilvl="6" w:tplc="096270DA" w:tentative="1">
      <w:start w:val="1"/>
      <w:numFmt w:val="bullet"/>
      <w:lvlText w:val=""/>
      <w:lvlJc w:val="left"/>
      <w:pPr>
        <w:tabs>
          <w:tab w:val="num" w:pos="5040"/>
        </w:tabs>
        <w:ind w:left="5040" w:hanging="360"/>
      </w:pPr>
      <w:rPr>
        <w:rFonts w:ascii="Symbol" w:hAnsi="Symbol" w:hint="default"/>
      </w:rPr>
    </w:lvl>
    <w:lvl w:ilvl="7" w:tplc="FC8C0FAA" w:tentative="1">
      <w:start w:val="1"/>
      <w:numFmt w:val="bullet"/>
      <w:lvlText w:val="o"/>
      <w:lvlJc w:val="left"/>
      <w:pPr>
        <w:tabs>
          <w:tab w:val="num" w:pos="5760"/>
        </w:tabs>
        <w:ind w:left="5760" w:hanging="360"/>
      </w:pPr>
      <w:rPr>
        <w:rFonts w:ascii="Courier New" w:hAnsi="Courier New" w:hint="default"/>
      </w:rPr>
    </w:lvl>
    <w:lvl w:ilvl="8" w:tplc="56F698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2DA0D366">
      <w:start w:val="1"/>
      <w:numFmt w:val="bullet"/>
      <w:lvlText w:val=""/>
      <w:lvlJc w:val="left"/>
      <w:pPr>
        <w:tabs>
          <w:tab w:val="num" w:pos="1440"/>
        </w:tabs>
        <w:ind w:left="1440" w:hanging="360"/>
      </w:pPr>
      <w:rPr>
        <w:rFonts w:ascii="Symbol" w:hAnsi="Symbol" w:hint="default"/>
      </w:rPr>
    </w:lvl>
    <w:lvl w:ilvl="1" w:tplc="9328D046" w:tentative="1">
      <w:start w:val="1"/>
      <w:numFmt w:val="bullet"/>
      <w:lvlText w:val="o"/>
      <w:lvlJc w:val="left"/>
      <w:pPr>
        <w:tabs>
          <w:tab w:val="num" w:pos="2160"/>
        </w:tabs>
        <w:ind w:left="2160" w:hanging="360"/>
      </w:pPr>
      <w:rPr>
        <w:rFonts w:ascii="Courier New" w:hAnsi="Courier New" w:hint="default"/>
      </w:rPr>
    </w:lvl>
    <w:lvl w:ilvl="2" w:tplc="BDA857A0" w:tentative="1">
      <w:start w:val="1"/>
      <w:numFmt w:val="bullet"/>
      <w:lvlText w:val=""/>
      <w:lvlJc w:val="left"/>
      <w:pPr>
        <w:tabs>
          <w:tab w:val="num" w:pos="2880"/>
        </w:tabs>
        <w:ind w:left="2880" w:hanging="360"/>
      </w:pPr>
      <w:rPr>
        <w:rFonts w:ascii="Wingdings" w:hAnsi="Wingdings" w:hint="default"/>
      </w:rPr>
    </w:lvl>
    <w:lvl w:ilvl="3" w:tplc="23E460DA" w:tentative="1">
      <w:start w:val="1"/>
      <w:numFmt w:val="bullet"/>
      <w:lvlText w:val=""/>
      <w:lvlJc w:val="left"/>
      <w:pPr>
        <w:tabs>
          <w:tab w:val="num" w:pos="3600"/>
        </w:tabs>
        <w:ind w:left="3600" w:hanging="360"/>
      </w:pPr>
      <w:rPr>
        <w:rFonts w:ascii="Symbol" w:hAnsi="Symbol" w:hint="default"/>
      </w:rPr>
    </w:lvl>
    <w:lvl w:ilvl="4" w:tplc="E018BD1A" w:tentative="1">
      <w:start w:val="1"/>
      <w:numFmt w:val="bullet"/>
      <w:lvlText w:val="o"/>
      <w:lvlJc w:val="left"/>
      <w:pPr>
        <w:tabs>
          <w:tab w:val="num" w:pos="4320"/>
        </w:tabs>
        <w:ind w:left="4320" w:hanging="360"/>
      </w:pPr>
      <w:rPr>
        <w:rFonts w:ascii="Courier New" w:hAnsi="Courier New" w:hint="default"/>
      </w:rPr>
    </w:lvl>
    <w:lvl w:ilvl="5" w:tplc="143A3452" w:tentative="1">
      <w:start w:val="1"/>
      <w:numFmt w:val="bullet"/>
      <w:lvlText w:val=""/>
      <w:lvlJc w:val="left"/>
      <w:pPr>
        <w:tabs>
          <w:tab w:val="num" w:pos="5040"/>
        </w:tabs>
        <w:ind w:left="5040" w:hanging="360"/>
      </w:pPr>
      <w:rPr>
        <w:rFonts w:ascii="Wingdings" w:hAnsi="Wingdings" w:hint="default"/>
      </w:rPr>
    </w:lvl>
    <w:lvl w:ilvl="6" w:tplc="AF200080" w:tentative="1">
      <w:start w:val="1"/>
      <w:numFmt w:val="bullet"/>
      <w:lvlText w:val=""/>
      <w:lvlJc w:val="left"/>
      <w:pPr>
        <w:tabs>
          <w:tab w:val="num" w:pos="5760"/>
        </w:tabs>
        <w:ind w:left="5760" w:hanging="360"/>
      </w:pPr>
      <w:rPr>
        <w:rFonts w:ascii="Symbol" w:hAnsi="Symbol" w:hint="default"/>
      </w:rPr>
    </w:lvl>
    <w:lvl w:ilvl="7" w:tplc="92E6F82A" w:tentative="1">
      <w:start w:val="1"/>
      <w:numFmt w:val="bullet"/>
      <w:lvlText w:val="o"/>
      <w:lvlJc w:val="left"/>
      <w:pPr>
        <w:tabs>
          <w:tab w:val="num" w:pos="6480"/>
        </w:tabs>
        <w:ind w:left="6480" w:hanging="360"/>
      </w:pPr>
      <w:rPr>
        <w:rFonts w:ascii="Courier New" w:hAnsi="Courier New" w:hint="default"/>
      </w:rPr>
    </w:lvl>
    <w:lvl w:ilvl="8" w:tplc="05CA8AB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8603CAA">
      <w:start w:val="1"/>
      <w:numFmt w:val="bullet"/>
      <w:lvlText w:val=""/>
      <w:lvlJc w:val="left"/>
      <w:pPr>
        <w:tabs>
          <w:tab w:val="num" w:pos="1440"/>
        </w:tabs>
        <w:ind w:left="1440" w:hanging="360"/>
      </w:pPr>
      <w:rPr>
        <w:rFonts w:ascii="Symbol" w:hAnsi="Symbol" w:hint="default"/>
      </w:rPr>
    </w:lvl>
    <w:lvl w:ilvl="1" w:tplc="D74CF9C8" w:tentative="1">
      <w:start w:val="1"/>
      <w:numFmt w:val="bullet"/>
      <w:lvlText w:val="o"/>
      <w:lvlJc w:val="left"/>
      <w:pPr>
        <w:tabs>
          <w:tab w:val="num" w:pos="2160"/>
        </w:tabs>
        <w:ind w:left="2160" w:hanging="360"/>
      </w:pPr>
      <w:rPr>
        <w:rFonts w:ascii="Courier New" w:hAnsi="Courier New" w:hint="default"/>
      </w:rPr>
    </w:lvl>
    <w:lvl w:ilvl="2" w:tplc="17963A40" w:tentative="1">
      <w:start w:val="1"/>
      <w:numFmt w:val="bullet"/>
      <w:lvlText w:val=""/>
      <w:lvlJc w:val="left"/>
      <w:pPr>
        <w:tabs>
          <w:tab w:val="num" w:pos="2880"/>
        </w:tabs>
        <w:ind w:left="2880" w:hanging="360"/>
      </w:pPr>
      <w:rPr>
        <w:rFonts w:ascii="Wingdings" w:hAnsi="Wingdings" w:hint="default"/>
      </w:rPr>
    </w:lvl>
    <w:lvl w:ilvl="3" w:tplc="28C45C00" w:tentative="1">
      <w:start w:val="1"/>
      <w:numFmt w:val="bullet"/>
      <w:lvlText w:val=""/>
      <w:lvlJc w:val="left"/>
      <w:pPr>
        <w:tabs>
          <w:tab w:val="num" w:pos="3600"/>
        </w:tabs>
        <w:ind w:left="3600" w:hanging="360"/>
      </w:pPr>
      <w:rPr>
        <w:rFonts w:ascii="Symbol" w:hAnsi="Symbol" w:hint="default"/>
      </w:rPr>
    </w:lvl>
    <w:lvl w:ilvl="4" w:tplc="FA460D14" w:tentative="1">
      <w:start w:val="1"/>
      <w:numFmt w:val="bullet"/>
      <w:lvlText w:val="o"/>
      <w:lvlJc w:val="left"/>
      <w:pPr>
        <w:tabs>
          <w:tab w:val="num" w:pos="4320"/>
        </w:tabs>
        <w:ind w:left="4320" w:hanging="360"/>
      </w:pPr>
      <w:rPr>
        <w:rFonts w:ascii="Courier New" w:hAnsi="Courier New" w:hint="default"/>
      </w:rPr>
    </w:lvl>
    <w:lvl w:ilvl="5" w:tplc="2FFEAF26" w:tentative="1">
      <w:start w:val="1"/>
      <w:numFmt w:val="bullet"/>
      <w:lvlText w:val=""/>
      <w:lvlJc w:val="left"/>
      <w:pPr>
        <w:tabs>
          <w:tab w:val="num" w:pos="5040"/>
        </w:tabs>
        <w:ind w:left="5040" w:hanging="360"/>
      </w:pPr>
      <w:rPr>
        <w:rFonts w:ascii="Wingdings" w:hAnsi="Wingdings" w:hint="default"/>
      </w:rPr>
    </w:lvl>
    <w:lvl w:ilvl="6" w:tplc="BA0290C6" w:tentative="1">
      <w:start w:val="1"/>
      <w:numFmt w:val="bullet"/>
      <w:lvlText w:val=""/>
      <w:lvlJc w:val="left"/>
      <w:pPr>
        <w:tabs>
          <w:tab w:val="num" w:pos="5760"/>
        </w:tabs>
        <w:ind w:left="5760" w:hanging="360"/>
      </w:pPr>
      <w:rPr>
        <w:rFonts w:ascii="Symbol" w:hAnsi="Symbol" w:hint="default"/>
      </w:rPr>
    </w:lvl>
    <w:lvl w:ilvl="7" w:tplc="8EE21C00" w:tentative="1">
      <w:start w:val="1"/>
      <w:numFmt w:val="bullet"/>
      <w:lvlText w:val="o"/>
      <w:lvlJc w:val="left"/>
      <w:pPr>
        <w:tabs>
          <w:tab w:val="num" w:pos="6480"/>
        </w:tabs>
        <w:ind w:left="6480" w:hanging="360"/>
      </w:pPr>
      <w:rPr>
        <w:rFonts w:ascii="Courier New" w:hAnsi="Courier New" w:hint="default"/>
      </w:rPr>
    </w:lvl>
    <w:lvl w:ilvl="8" w:tplc="900487A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A687470">
      <w:start w:val="1"/>
      <w:numFmt w:val="bullet"/>
      <w:lvlText w:val=""/>
      <w:lvlJc w:val="left"/>
      <w:pPr>
        <w:tabs>
          <w:tab w:val="num" w:pos="1440"/>
        </w:tabs>
        <w:ind w:left="1440" w:hanging="360"/>
      </w:pPr>
      <w:rPr>
        <w:rFonts w:ascii="Symbol" w:hAnsi="Symbol" w:hint="default"/>
      </w:rPr>
    </w:lvl>
    <w:lvl w:ilvl="1" w:tplc="78EC9A50">
      <w:start w:val="1"/>
      <w:numFmt w:val="bullet"/>
      <w:lvlText w:val="o"/>
      <w:lvlJc w:val="left"/>
      <w:pPr>
        <w:tabs>
          <w:tab w:val="num" w:pos="2160"/>
        </w:tabs>
        <w:ind w:left="2160" w:hanging="360"/>
      </w:pPr>
      <w:rPr>
        <w:rFonts w:ascii="Courier New" w:hAnsi="Courier New" w:hint="default"/>
      </w:rPr>
    </w:lvl>
    <w:lvl w:ilvl="2" w:tplc="741E3224" w:tentative="1">
      <w:start w:val="1"/>
      <w:numFmt w:val="bullet"/>
      <w:lvlText w:val=""/>
      <w:lvlJc w:val="left"/>
      <w:pPr>
        <w:tabs>
          <w:tab w:val="num" w:pos="2880"/>
        </w:tabs>
        <w:ind w:left="2880" w:hanging="360"/>
      </w:pPr>
      <w:rPr>
        <w:rFonts w:ascii="Wingdings" w:hAnsi="Wingdings" w:hint="default"/>
      </w:rPr>
    </w:lvl>
    <w:lvl w:ilvl="3" w:tplc="E79CFD06" w:tentative="1">
      <w:start w:val="1"/>
      <w:numFmt w:val="bullet"/>
      <w:lvlText w:val=""/>
      <w:lvlJc w:val="left"/>
      <w:pPr>
        <w:tabs>
          <w:tab w:val="num" w:pos="3600"/>
        </w:tabs>
        <w:ind w:left="3600" w:hanging="360"/>
      </w:pPr>
      <w:rPr>
        <w:rFonts w:ascii="Symbol" w:hAnsi="Symbol" w:hint="default"/>
      </w:rPr>
    </w:lvl>
    <w:lvl w:ilvl="4" w:tplc="956A9534" w:tentative="1">
      <w:start w:val="1"/>
      <w:numFmt w:val="bullet"/>
      <w:lvlText w:val="o"/>
      <w:lvlJc w:val="left"/>
      <w:pPr>
        <w:tabs>
          <w:tab w:val="num" w:pos="4320"/>
        </w:tabs>
        <w:ind w:left="4320" w:hanging="360"/>
      </w:pPr>
      <w:rPr>
        <w:rFonts w:ascii="Courier New" w:hAnsi="Courier New" w:hint="default"/>
      </w:rPr>
    </w:lvl>
    <w:lvl w:ilvl="5" w:tplc="5504CEEC" w:tentative="1">
      <w:start w:val="1"/>
      <w:numFmt w:val="bullet"/>
      <w:lvlText w:val=""/>
      <w:lvlJc w:val="left"/>
      <w:pPr>
        <w:tabs>
          <w:tab w:val="num" w:pos="5040"/>
        </w:tabs>
        <w:ind w:left="5040" w:hanging="360"/>
      </w:pPr>
      <w:rPr>
        <w:rFonts w:ascii="Wingdings" w:hAnsi="Wingdings" w:hint="default"/>
      </w:rPr>
    </w:lvl>
    <w:lvl w:ilvl="6" w:tplc="E2FC6F38" w:tentative="1">
      <w:start w:val="1"/>
      <w:numFmt w:val="bullet"/>
      <w:lvlText w:val=""/>
      <w:lvlJc w:val="left"/>
      <w:pPr>
        <w:tabs>
          <w:tab w:val="num" w:pos="5760"/>
        </w:tabs>
        <w:ind w:left="5760" w:hanging="360"/>
      </w:pPr>
      <w:rPr>
        <w:rFonts w:ascii="Symbol" w:hAnsi="Symbol" w:hint="default"/>
      </w:rPr>
    </w:lvl>
    <w:lvl w:ilvl="7" w:tplc="5A445430" w:tentative="1">
      <w:start w:val="1"/>
      <w:numFmt w:val="bullet"/>
      <w:lvlText w:val="o"/>
      <w:lvlJc w:val="left"/>
      <w:pPr>
        <w:tabs>
          <w:tab w:val="num" w:pos="6480"/>
        </w:tabs>
        <w:ind w:left="6480" w:hanging="360"/>
      </w:pPr>
      <w:rPr>
        <w:rFonts w:ascii="Courier New" w:hAnsi="Courier New" w:hint="default"/>
      </w:rPr>
    </w:lvl>
    <w:lvl w:ilvl="8" w:tplc="0952008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7B621B4">
      <w:start w:val="1"/>
      <w:numFmt w:val="bullet"/>
      <w:lvlText w:val=""/>
      <w:lvlJc w:val="left"/>
      <w:pPr>
        <w:tabs>
          <w:tab w:val="num" w:pos="720"/>
        </w:tabs>
        <w:ind w:left="720" w:hanging="360"/>
      </w:pPr>
      <w:rPr>
        <w:rFonts w:ascii="Symbol" w:hAnsi="Symbol" w:hint="default"/>
      </w:rPr>
    </w:lvl>
    <w:lvl w:ilvl="1" w:tplc="753611C8">
      <w:start w:val="1"/>
      <w:numFmt w:val="bullet"/>
      <w:lvlText w:val="o"/>
      <w:lvlJc w:val="left"/>
      <w:pPr>
        <w:tabs>
          <w:tab w:val="num" w:pos="1440"/>
        </w:tabs>
        <w:ind w:left="1440" w:hanging="360"/>
      </w:pPr>
      <w:rPr>
        <w:rFonts w:ascii="Courier New" w:hAnsi="Courier New" w:hint="default"/>
      </w:rPr>
    </w:lvl>
    <w:lvl w:ilvl="2" w:tplc="AB86B678" w:tentative="1">
      <w:start w:val="1"/>
      <w:numFmt w:val="bullet"/>
      <w:lvlText w:val=""/>
      <w:lvlJc w:val="left"/>
      <w:pPr>
        <w:tabs>
          <w:tab w:val="num" w:pos="2160"/>
        </w:tabs>
        <w:ind w:left="2160" w:hanging="360"/>
      </w:pPr>
      <w:rPr>
        <w:rFonts w:ascii="Wingdings" w:hAnsi="Wingdings" w:hint="default"/>
      </w:rPr>
    </w:lvl>
    <w:lvl w:ilvl="3" w:tplc="875A0038" w:tentative="1">
      <w:start w:val="1"/>
      <w:numFmt w:val="bullet"/>
      <w:lvlText w:val=""/>
      <w:lvlJc w:val="left"/>
      <w:pPr>
        <w:tabs>
          <w:tab w:val="num" w:pos="2880"/>
        </w:tabs>
        <w:ind w:left="2880" w:hanging="360"/>
      </w:pPr>
      <w:rPr>
        <w:rFonts w:ascii="Symbol" w:hAnsi="Symbol" w:hint="default"/>
      </w:rPr>
    </w:lvl>
    <w:lvl w:ilvl="4" w:tplc="A4422932" w:tentative="1">
      <w:start w:val="1"/>
      <w:numFmt w:val="bullet"/>
      <w:lvlText w:val="o"/>
      <w:lvlJc w:val="left"/>
      <w:pPr>
        <w:tabs>
          <w:tab w:val="num" w:pos="3600"/>
        </w:tabs>
        <w:ind w:left="3600" w:hanging="360"/>
      </w:pPr>
      <w:rPr>
        <w:rFonts w:ascii="Courier New" w:hAnsi="Courier New" w:hint="default"/>
      </w:rPr>
    </w:lvl>
    <w:lvl w:ilvl="5" w:tplc="D2443B02" w:tentative="1">
      <w:start w:val="1"/>
      <w:numFmt w:val="bullet"/>
      <w:lvlText w:val=""/>
      <w:lvlJc w:val="left"/>
      <w:pPr>
        <w:tabs>
          <w:tab w:val="num" w:pos="4320"/>
        </w:tabs>
        <w:ind w:left="4320" w:hanging="360"/>
      </w:pPr>
      <w:rPr>
        <w:rFonts w:ascii="Wingdings" w:hAnsi="Wingdings" w:hint="default"/>
      </w:rPr>
    </w:lvl>
    <w:lvl w:ilvl="6" w:tplc="4970C996" w:tentative="1">
      <w:start w:val="1"/>
      <w:numFmt w:val="bullet"/>
      <w:lvlText w:val=""/>
      <w:lvlJc w:val="left"/>
      <w:pPr>
        <w:tabs>
          <w:tab w:val="num" w:pos="5040"/>
        </w:tabs>
        <w:ind w:left="5040" w:hanging="360"/>
      </w:pPr>
      <w:rPr>
        <w:rFonts w:ascii="Symbol" w:hAnsi="Symbol" w:hint="default"/>
      </w:rPr>
    </w:lvl>
    <w:lvl w:ilvl="7" w:tplc="00DEB476" w:tentative="1">
      <w:start w:val="1"/>
      <w:numFmt w:val="bullet"/>
      <w:lvlText w:val="o"/>
      <w:lvlJc w:val="left"/>
      <w:pPr>
        <w:tabs>
          <w:tab w:val="num" w:pos="5760"/>
        </w:tabs>
        <w:ind w:left="5760" w:hanging="360"/>
      </w:pPr>
      <w:rPr>
        <w:rFonts w:ascii="Courier New" w:hAnsi="Courier New" w:hint="default"/>
      </w:rPr>
    </w:lvl>
    <w:lvl w:ilvl="8" w:tplc="B082EC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F296FCDC">
      <w:start w:val="1"/>
      <w:numFmt w:val="lowerRoman"/>
      <w:lvlText w:val="%1.)"/>
      <w:lvlJc w:val="left"/>
      <w:pPr>
        <w:tabs>
          <w:tab w:val="num" w:pos="540"/>
        </w:tabs>
        <w:ind w:left="255" w:hanging="435"/>
      </w:pPr>
      <w:rPr>
        <w:rFonts w:hint="default"/>
      </w:rPr>
    </w:lvl>
    <w:lvl w:ilvl="1" w:tplc="214A648C" w:tentative="1">
      <w:start w:val="1"/>
      <w:numFmt w:val="lowerLetter"/>
      <w:lvlText w:val="%2."/>
      <w:lvlJc w:val="left"/>
      <w:pPr>
        <w:tabs>
          <w:tab w:val="num" w:pos="1260"/>
        </w:tabs>
        <w:ind w:left="1260" w:hanging="360"/>
      </w:pPr>
    </w:lvl>
    <w:lvl w:ilvl="2" w:tplc="E96A07F2" w:tentative="1">
      <w:start w:val="1"/>
      <w:numFmt w:val="lowerRoman"/>
      <w:lvlText w:val="%3."/>
      <w:lvlJc w:val="right"/>
      <w:pPr>
        <w:tabs>
          <w:tab w:val="num" w:pos="1980"/>
        </w:tabs>
        <w:ind w:left="1980" w:hanging="180"/>
      </w:pPr>
    </w:lvl>
    <w:lvl w:ilvl="3" w:tplc="3C16637C" w:tentative="1">
      <w:start w:val="1"/>
      <w:numFmt w:val="decimal"/>
      <w:lvlText w:val="%4."/>
      <w:lvlJc w:val="left"/>
      <w:pPr>
        <w:tabs>
          <w:tab w:val="num" w:pos="2700"/>
        </w:tabs>
        <w:ind w:left="2700" w:hanging="360"/>
      </w:pPr>
    </w:lvl>
    <w:lvl w:ilvl="4" w:tplc="02A497C4" w:tentative="1">
      <w:start w:val="1"/>
      <w:numFmt w:val="lowerLetter"/>
      <w:lvlText w:val="%5."/>
      <w:lvlJc w:val="left"/>
      <w:pPr>
        <w:tabs>
          <w:tab w:val="num" w:pos="3420"/>
        </w:tabs>
        <w:ind w:left="3420" w:hanging="360"/>
      </w:pPr>
    </w:lvl>
    <w:lvl w:ilvl="5" w:tplc="C25CBB58" w:tentative="1">
      <w:start w:val="1"/>
      <w:numFmt w:val="lowerRoman"/>
      <w:lvlText w:val="%6."/>
      <w:lvlJc w:val="right"/>
      <w:pPr>
        <w:tabs>
          <w:tab w:val="num" w:pos="4140"/>
        </w:tabs>
        <w:ind w:left="4140" w:hanging="180"/>
      </w:pPr>
    </w:lvl>
    <w:lvl w:ilvl="6" w:tplc="924CEE80" w:tentative="1">
      <w:start w:val="1"/>
      <w:numFmt w:val="decimal"/>
      <w:lvlText w:val="%7."/>
      <w:lvlJc w:val="left"/>
      <w:pPr>
        <w:tabs>
          <w:tab w:val="num" w:pos="4860"/>
        </w:tabs>
        <w:ind w:left="4860" w:hanging="360"/>
      </w:pPr>
    </w:lvl>
    <w:lvl w:ilvl="7" w:tplc="3522BF40" w:tentative="1">
      <w:start w:val="1"/>
      <w:numFmt w:val="lowerLetter"/>
      <w:lvlText w:val="%8."/>
      <w:lvlJc w:val="left"/>
      <w:pPr>
        <w:tabs>
          <w:tab w:val="num" w:pos="5580"/>
        </w:tabs>
        <w:ind w:left="5580" w:hanging="360"/>
      </w:pPr>
    </w:lvl>
    <w:lvl w:ilvl="8" w:tplc="9656F1C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81C60038">
      <w:start w:val="1"/>
      <w:numFmt w:val="decimal"/>
      <w:lvlText w:val="%1."/>
      <w:lvlJc w:val="left"/>
      <w:pPr>
        <w:tabs>
          <w:tab w:val="num" w:pos="180"/>
        </w:tabs>
        <w:ind w:left="180" w:hanging="360"/>
      </w:pPr>
      <w:rPr>
        <w:rFonts w:hint="default"/>
      </w:rPr>
    </w:lvl>
    <w:lvl w:ilvl="1" w:tplc="CEA897C0" w:tentative="1">
      <w:start w:val="1"/>
      <w:numFmt w:val="lowerLetter"/>
      <w:lvlText w:val="%2."/>
      <w:lvlJc w:val="left"/>
      <w:pPr>
        <w:tabs>
          <w:tab w:val="num" w:pos="900"/>
        </w:tabs>
        <w:ind w:left="900" w:hanging="360"/>
      </w:pPr>
    </w:lvl>
    <w:lvl w:ilvl="2" w:tplc="12E43AA6" w:tentative="1">
      <w:start w:val="1"/>
      <w:numFmt w:val="lowerRoman"/>
      <w:lvlText w:val="%3."/>
      <w:lvlJc w:val="right"/>
      <w:pPr>
        <w:tabs>
          <w:tab w:val="num" w:pos="1620"/>
        </w:tabs>
        <w:ind w:left="1620" w:hanging="180"/>
      </w:pPr>
    </w:lvl>
    <w:lvl w:ilvl="3" w:tplc="48AA179C" w:tentative="1">
      <w:start w:val="1"/>
      <w:numFmt w:val="decimal"/>
      <w:lvlText w:val="%4."/>
      <w:lvlJc w:val="left"/>
      <w:pPr>
        <w:tabs>
          <w:tab w:val="num" w:pos="2340"/>
        </w:tabs>
        <w:ind w:left="2340" w:hanging="360"/>
      </w:pPr>
    </w:lvl>
    <w:lvl w:ilvl="4" w:tplc="FEBC3DF2" w:tentative="1">
      <w:start w:val="1"/>
      <w:numFmt w:val="lowerLetter"/>
      <w:lvlText w:val="%5."/>
      <w:lvlJc w:val="left"/>
      <w:pPr>
        <w:tabs>
          <w:tab w:val="num" w:pos="3060"/>
        </w:tabs>
        <w:ind w:left="3060" w:hanging="360"/>
      </w:pPr>
    </w:lvl>
    <w:lvl w:ilvl="5" w:tplc="FEE05D98" w:tentative="1">
      <w:start w:val="1"/>
      <w:numFmt w:val="lowerRoman"/>
      <w:lvlText w:val="%6."/>
      <w:lvlJc w:val="right"/>
      <w:pPr>
        <w:tabs>
          <w:tab w:val="num" w:pos="3780"/>
        </w:tabs>
        <w:ind w:left="3780" w:hanging="180"/>
      </w:pPr>
    </w:lvl>
    <w:lvl w:ilvl="6" w:tplc="F118B76E" w:tentative="1">
      <w:start w:val="1"/>
      <w:numFmt w:val="decimal"/>
      <w:lvlText w:val="%7."/>
      <w:lvlJc w:val="left"/>
      <w:pPr>
        <w:tabs>
          <w:tab w:val="num" w:pos="4500"/>
        </w:tabs>
        <w:ind w:left="4500" w:hanging="360"/>
      </w:pPr>
    </w:lvl>
    <w:lvl w:ilvl="7" w:tplc="8B3E2D8E" w:tentative="1">
      <w:start w:val="1"/>
      <w:numFmt w:val="lowerLetter"/>
      <w:lvlText w:val="%8."/>
      <w:lvlJc w:val="left"/>
      <w:pPr>
        <w:tabs>
          <w:tab w:val="num" w:pos="5220"/>
        </w:tabs>
        <w:ind w:left="5220" w:hanging="360"/>
      </w:pPr>
    </w:lvl>
    <w:lvl w:ilvl="8" w:tplc="0CDA81C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3B49C32">
      <w:start w:val="1"/>
      <w:numFmt w:val="bullet"/>
      <w:lvlText w:val=""/>
      <w:lvlJc w:val="left"/>
      <w:pPr>
        <w:tabs>
          <w:tab w:val="num" w:pos="720"/>
        </w:tabs>
        <w:ind w:left="720" w:hanging="360"/>
      </w:pPr>
      <w:rPr>
        <w:rFonts w:ascii="Symbol" w:hAnsi="Symbol" w:hint="default"/>
      </w:rPr>
    </w:lvl>
    <w:lvl w:ilvl="1" w:tplc="AABED66E" w:tentative="1">
      <w:start w:val="1"/>
      <w:numFmt w:val="bullet"/>
      <w:lvlText w:val="o"/>
      <w:lvlJc w:val="left"/>
      <w:pPr>
        <w:tabs>
          <w:tab w:val="num" w:pos="1440"/>
        </w:tabs>
        <w:ind w:left="1440" w:hanging="360"/>
      </w:pPr>
      <w:rPr>
        <w:rFonts w:ascii="Courier New" w:hAnsi="Courier New" w:hint="default"/>
      </w:rPr>
    </w:lvl>
    <w:lvl w:ilvl="2" w:tplc="DD083C7E" w:tentative="1">
      <w:start w:val="1"/>
      <w:numFmt w:val="bullet"/>
      <w:lvlText w:val=""/>
      <w:lvlJc w:val="left"/>
      <w:pPr>
        <w:tabs>
          <w:tab w:val="num" w:pos="2160"/>
        </w:tabs>
        <w:ind w:left="2160" w:hanging="360"/>
      </w:pPr>
      <w:rPr>
        <w:rFonts w:ascii="Wingdings" w:hAnsi="Wingdings" w:hint="default"/>
      </w:rPr>
    </w:lvl>
    <w:lvl w:ilvl="3" w:tplc="359640C4" w:tentative="1">
      <w:start w:val="1"/>
      <w:numFmt w:val="bullet"/>
      <w:lvlText w:val=""/>
      <w:lvlJc w:val="left"/>
      <w:pPr>
        <w:tabs>
          <w:tab w:val="num" w:pos="2880"/>
        </w:tabs>
        <w:ind w:left="2880" w:hanging="360"/>
      </w:pPr>
      <w:rPr>
        <w:rFonts w:ascii="Symbol" w:hAnsi="Symbol" w:hint="default"/>
      </w:rPr>
    </w:lvl>
    <w:lvl w:ilvl="4" w:tplc="F3BE47F2" w:tentative="1">
      <w:start w:val="1"/>
      <w:numFmt w:val="bullet"/>
      <w:lvlText w:val="o"/>
      <w:lvlJc w:val="left"/>
      <w:pPr>
        <w:tabs>
          <w:tab w:val="num" w:pos="3600"/>
        </w:tabs>
        <w:ind w:left="3600" w:hanging="360"/>
      </w:pPr>
      <w:rPr>
        <w:rFonts w:ascii="Courier New" w:hAnsi="Courier New" w:hint="default"/>
      </w:rPr>
    </w:lvl>
    <w:lvl w:ilvl="5" w:tplc="81F63E9A" w:tentative="1">
      <w:start w:val="1"/>
      <w:numFmt w:val="bullet"/>
      <w:lvlText w:val=""/>
      <w:lvlJc w:val="left"/>
      <w:pPr>
        <w:tabs>
          <w:tab w:val="num" w:pos="4320"/>
        </w:tabs>
        <w:ind w:left="4320" w:hanging="360"/>
      </w:pPr>
      <w:rPr>
        <w:rFonts w:ascii="Wingdings" w:hAnsi="Wingdings" w:hint="default"/>
      </w:rPr>
    </w:lvl>
    <w:lvl w:ilvl="6" w:tplc="EC1A1EB4" w:tentative="1">
      <w:start w:val="1"/>
      <w:numFmt w:val="bullet"/>
      <w:lvlText w:val=""/>
      <w:lvlJc w:val="left"/>
      <w:pPr>
        <w:tabs>
          <w:tab w:val="num" w:pos="5040"/>
        </w:tabs>
        <w:ind w:left="5040" w:hanging="360"/>
      </w:pPr>
      <w:rPr>
        <w:rFonts w:ascii="Symbol" w:hAnsi="Symbol" w:hint="default"/>
      </w:rPr>
    </w:lvl>
    <w:lvl w:ilvl="7" w:tplc="4C30219E" w:tentative="1">
      <w:start w:val="1"/>
      <w:numFmt w:val="bullet"/>
      <w:lvlText w:val="o"/>
      <w:lvlJc w:val="left"/>
      <w:pPr>
        <w:tabs>
          <w:tab w:val="num" w:pos="5760"/>
        </w:tabs>
        <w:ind w:left="5760" w:hanging="360"/>
      </w:pPr>
      <w:rPr>
        <w:rFonts w:ascii="Courier New" w:hAnsi="Courier New" w:hint="default"/>
      </w:rPr>
    </w:lvl>
    <w:lvl w:ilvl="8" w:tplc="198096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EA88B42">
      <w:start w:val="1"/>
      <w:numFmt w:val="bullet"/>
      <w:lvlText w:val=""/>
      <w:lvlJc w:val="left"/>
      <w:pPr>
        <w:tabs>
          <w:tab w:val="num" w:pos="720"/>
        </w:tabs>
        <w:ind w:left="720" w:hanging="360"/>
      </w:pPr>
      <w:rPr>
        <w:rFonts w:ascii="Symbol" w:hAnsi="Symbol" w:hint="default"/>
      </w:rPr>
    </w:lvl>
    <w:lvl w:ilvl="1" w:tplc="FFD65DC8">
      <w:start w:val="1"/>
      <w:numFmt w:val="bullet"/>
      <w:lvlText w:val="o"/>
      <w:lvlJc w:val="left"/>
      <w:pPr>
        <w:tabs>
          <w:tab w:val="num" w:pos="1440"/>
        </w:tabs>
        <w:ind w:left="1440" w:hanging="360"/>
      </w:pPr>
      <w:rPr>
        <w:rFonts w:ascii="Courier New" w:hAnsi="Courier New" w:hint="default"/>
      </w:rPr>
    </w:lvl>
    <w:lvl w:ilvl="2" w:tplc="1EF2ADC8" w:tentative="1">
      <w:start w:val="1"/>
      <w:numFmt w:val="bullet"/>
      <w:lvlText w:val=""/>
      <w:lvlJc w:val="left"/>
      <w:pPr>
        <w:tabs>
          <w:tab w:val="num" w:pos="2160"/>
        </w:tabs>
        <w:ind w:left="2160" w:hanging="360"/>
      </w:pPr>
      <w:rPr>
        <w:rFonts w:ascii="Wingdings" w:hAnsi="Wingdings" w:hint="default"/>
      </w:rPr>
    </w:lvl>
    <w:lvl w:ilvl="3" w:tplc="69426472" w:tentative="1">
      <w:start w:val="1"/>
      <w:numFmt w:val="bullet"/>
      <w:lvlText w:val=""/>
      <w:lvlJc w:val="left"/>
      <w:pPr>
        <w:tabs>
          <w:tab w:val="num" w:pos="2880"/>
        </w:tabs>
        <w:ind w:left="2880" w:hanging="360"/>
      </w:pPr>
      <w:rPr>
        <w:rFonts w:ascii="Symbol" w:hAnsi="Symbol" w:hint="default"/>
      </w:rPr>
    </w:lvl>
    <w:lvl w:ilvl="4" w:tplc="F3F23FD2" w:tentative="1">
      <w:start w:val="1"/>
      <w:numFmt w:val="bullet"/>
      <w:lvlText w:val="o"/>
      <w:lvlJc w:val="left"/>
      <w:pPr>
        <w:tabs>
          <w:tab w:val="num" w:pos="3600"/>
        </w:tabs>
        <w:ind w:left="3600" w:hanging="360"/>
      </w:pPr>
      <w:rPr>
        <w:rFonts w:ascii="Courier New" w:hAnsi="Courier New" w:hint="default"/>
      </w:rPr>
    </w:lvl>
    <w:lvl w:ilvl="5" w:tplc="B24A5FF4" w:tentative="1">
      <w:start w:val="1"/>
      <w:numFmt w:val="bullet"/>
      <w:lvlText w:val=""/>
      <w:lvlJc w:val="left"/>
      <w:pPr>
        <w:tabs>
          <w:tab w:val="num" w:pos="4320"/>
        </w:tabs>
        <w:ind w:left="4320" w:hanging="360"/>
      </w:pPr>
      <w:rPr>
        <w:rFonts w:ascii="Wingdings" w:hAnsi="Wingdings" w:hint="default"/>
      </w:rPr>
    </w:lvl>
    <w:lvl w:ilvl="6" w:tplc="9CFE36CE" w:tentative="1">
      <w:start w:val="1"/>
      <w:numFmt w:val="bullet"/>
      <w:lvlText w:val=""/>
      <w:lvlJc w:val="left"/>
      <w:pPr>
        <w:tabs>
          <w:tab w:val="num" w:pos="5040"/>
        </w:tabs>
        <w:ind w:left="5040" w:hanging="360"/>
      </w:pPr>
      <w:rPr>
        <w:rFonts w:ascii="Symbol" w:hAnsi="Symbol" w:hint="default"/>
      </w:rPr>
    </w:lvl>
    <w:lvl w:ilvl="7" w:tplc="E24CFB02" w:tentative="1">
      <w:start w:val="1"/>
      <w:numFmt w:val="bullet"/>
      <w:lvlText w:val="o"/>
      <w:lvlJc w:val="left"/>
      <w:pPr>
        <w:tabs>
          <w:tab w:val="num" w:pos="5760"/>
        </w:tabs>
        <w:ind w:left="5760" w:hanging="360"/>
      </w:pPr>
      <w:rPr>
        <w:rFonts w:ascii="Courier New" w:hAnsi="Courier New" w:hint="default"/>
      </w:rPr>
    </w:lvl>
    <w:lvl w:ilvl="8" w:tplc="26D896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81B22C30">
      <w:start w:val="1"/>
      <w:numFmt w:val="decimal"/>
      <w:pStyle w:val="References"/>
      <w:lvlText w:val="%1."/>
      <w:lvlJc w:val="left"/>
      <w:pPr>
        <w:tabs>
          <w:tab w:val="num" w:pos="360"/>
        </w:tabs>
        <w:ind w:left="360" w:hanging="360"/>
      </w:pPr>
      <w:rPr>
        <w:rFonts w:hint="default"/>
      </w:rPr>
    </w:lvl>
    <w:lvl w:ilvl="1" w:tplc="81283E66">
      <w:start w:val="1"/>
      <w:numFmt w:val="lowerLetter"/>
      <w:lvlText w:val="%2."/>
      <w:lvlJc w:val="left"/>
      <w:pPr>
        <w:tabs>
          <w:tab w:val="num" w:pos="1620"/>
        </w:tabs>
        <w:ind w:left="1620" w:hanging="360"/>
      </w:pPr>
    </w:lvl>
    <w:lvl w:ilvl="2" w:tplc="5088DE48" w:tentative="1">
      <w:start w:val="1"/>
      <w:numFmt w:val="lowerRoman"/>
      <w:lvlText w:val="%3."/>
      <w:lvlJc w:val="right"/>
      <w:pPr>
        <w:tabs>
          <w:tab w:val="num" w:pos="2340"/>
        </w:tabs>
        <w:ind w:left="2340" w:hanging="180"/>
      </w:pPr>
    </w:lvl>
    <w:lvl w:ilvl="3" w:tplc="0E0A0B08" w:tentative="1">
      <w:start w:val="1"/>
      <w:numFmt w:val="decimal"/>
      <w:lvlText w:val="%4."/>
      <w:lvlJc w:val="left"/>
      <w:pPr>
        <w:tabs>
          <w:tab w:val="num" w:pos="3060"/>
        </w:tabs>
        <w:ind w:left="3060" w:hanging="360"/>
      </w:pPr>
    </w:lvl>
    <w:lvl w:ilvl="4" w:tplc="76CABA9E" w:tentative="1">
      <w:start w:val="1"/>
      <w:numFmt w:val="lowerLetter"/>
      <w:lvlText w:val="%5."/>
      <w:lvlJc w:val="left"/>
      <w:pPr>
        <w:tabs>
          <w:tab w:val="num" w:pos="3780"/>
        </w:tabs>
        <w:ind w:left="3780" w:hanging="360"/>
      </w:pPr>
    </w:lvl>
    <w:lvl w:ilvl="5" w:tplc="E63C370C" w:tentative="1">
      <w:start w:val="1"/>
      <w:numFmt w:val="lowerRoman"/>
      <w:lvlText w:val="%6."/>
      <w:lvlJc w:val="right"/>
      <w:pPr>
        <w:tabs>
          <w:tab w:val="num" w:pos="4500"/>
        </w:tabs>
        <w:ind w:left="4500" w:hanging="180"/>
      </w:pPr>
    </w:lvl>
    <w:lvl w:ilvl="6" w:tplc="0FE2A5CE" w:tentative="1">
      <w:start w:val="1"/>
      <w:numFmt w:val="decimal"/>
      <w:lvlText w:val="%7."/>
      <w:lvlJc w:val="left"/>
      <w:pPr>
        <w:tabs>
          <w:tab w:val="num" w:pos="5220"/>
        </w:tabs>
        <w:ind w:left="5220" w:hanging="360"/>
      </w:pPr>
    </w:lvl>
    <w:lvl w:ilvl="7" w:tplc="54C2056E" w:tentative="1">
      <w:start w:val="1"/>
      <w:numFmt w:val="lowerLetter"/>
      <w:lvlText w:val="%8."/>
      <w:lvlJc w:val="left"/>
      <w:pPr>
        <w:tabs>
          <w:tab w:val="num" w:pos="5940"/>
        </w:tabs>
        <w:ind w:left="5940" w:hanging="360"/>
      </w:pPr>
    </w:lvl>
    <w:lvl w:ilvl="8" w:tplc="AABC733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3B14DF5C">
      <w:start w:val="1"/>
      <w:numFmt w:val="bullet"/>
      <w:lvlText w:val=""/>
      <w:lvlJc w:val="left"/>
      <w:pPr>
        <w:tabs>
          <w:tab w:val="num" w:pos="720"/>
        </w:tabs>
        <w:ind w:left="720" w:hanging="360"/>
      </w:pPr>
      <w:rPr>
        <w:rFonts w:ascii="Symbol" w:hAnsi="Symbol" w:hint="default"/>
      </w:rPr>
    </w:lvl>
    <w:lvl w:ilvl="1" w:tplc="56C4F7E6" w:tentative="1">
      <w:start w:val="1"/>
      <w:numFmt w:val="bullet"/>
      <w:lvlText w:val="o"/>
      <w:lvlJc w:val="left"/>
      <w:pPr>
        <w:tabs>
          <w:tab w:val="num" w:pos="1440"/>
        </w:tabs>
        <w:ind w:left="1440" w:hanging="360"/>
      </w:pPr>
      <w:rPr>
        <w:rFonts w:ascii="Courier New" w:hAnsi="Courier New" w:hint="default"/>
      </w:rPr>
    </w:lvl>
    <w:lvl w:ilvl="2" w:tplc="EF729302" w:tentative="1">
      <w:start w:val="1"/>
      <w:numFmt w:val="bullet"/>
      <w:lvlText w:val=""/>
      <w:lvlJc w:val="left"/>
      <w:pPr>
        <w:tabs>
          <w:tab w:val="num" w:pos="2160"/>
        </w:tabs>
        <w:ind w:left="2160" w:hanging="360"/>
      </w:pPr>
      <w:rPr>
        <w:rFonts w:ascii="Wingdings" w:hAnsi="Wingdings" w:hint="default"/>
      </w:rPr>
    </w:lvl>
    <w:lvl w:ilvl="3" w:tplc="5E7C24C2" w:tentative="1">
      <w:start w:val="1"/>
      <w:numFmt w:val="bullet"/>
      <w:lvlText w:val=""/>
      <w:lvlJc w:val="left"/>
      <w:pPr>
        <w:tabs>
          <w:tab w:val="num" w:pos="2880"/>
        </w:tabs>
        <w:ind w:left="2880" w:hanging="360"/>
      </w:pPr>
      <w:rPr>
        <w:rFonts w:ascii="Symbol" w:hAnsi="Symbol" w:hint="default"/>
      </w:rPr>
    </w:lvl>
    <w:lvl w:ilvl="4" w:tplc="7A7A27E4" w:tentative="1">
      <w:start w:val="1"/>
      <w:numFmt w:val="bullet"/>
      <w:lvlText w:val="o"/>
      <w:lvlJc w:val="left"/>
      <w:pPr>
        <w:tabs>
          <w:tab w:val="num" w:pos="3600"/>
        </w:tabs>
        <w:ind w:left="3600" w:hanging="360"/>
      </w:pPr>
      <w:rPr>
        <w:rFonts w:ascii="Courier New" w:hAnsi="Courier New" w:hint="default"/>
      </w:rPr>
    </w:lvl>
    <w:lvl w:ilvl="5" w:tplc="B322BDF6" w:tentative="1">
      <w:start w:val="1"/>
      <w:numFmt w:val="bullet"/>
      <w:lvlText w:val=""/>
      <w:lvlJc w:val="left"/>
      <w:pPr>
        <w:tabs>
          <w:tab w:val="num" w:pos="4320"/>
        </w:tabs>
        <w:ind w:left="4320" w:hanging="360"/>
      </w:pPr>
      <w:rPr>
        <w:rFonts w:ascii="Wingdings" w:hAnsi="Wingdings" w:hint="default"/>
      </w:rPr>
    </w:lvl>
    <w:lvl w:ilvl="6" w:tplc="19DC6932" w:tentative="1">
      <w:start w:val="1"/>
      <w:numFmt w:val="bullet"/>
      <w:lvlText w:val=""/>
      <w:lvlJc w:val="left"/>
      <w:pPr>
        <w:tabs>
          <w:tab w:val="num" w:pos="5040"/>
        </w:tabs>
        <w:ind w:left="5040" w:hanging="360"/>
      </w:pPr>
      <w:rPr>
        <w:rFonts w:ascii="Symbol" w:hAnsi="Symbol" w:hint="default"/>
      </w:rPr>
    </w:lvl>
    <w:lvl w:ilvl="7" w:tplc="229C4710" w:tentative="1">
      <w:start w:val="1"/>
      <w:numFmt w:val="bullet"/>
      <w:lvlText w:val="o"/>
      <w:lvlJc w:val="left"/>
      <w:pPr>
        <w:tabs>
          <w:tab w:val="num" w:pos="5760"/>
        </w:tabs>
        <w:ind w:left="5760" w:hanging="360"/>
      </w:pPr>
      <w:rPr>
        <w:rFonts w:ascii="Courier New" w:hAnsi="Courier New" w:hint="default"/>
      </w:rPr>
    </w:lvl>
    <w:lvl w:ilvl="8" w:tplc="8F6482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47B1"/>
    <w:rsid w:val="00016A50"/>
    <w:rsid w:val="00056C94"/>
    <w:rsid w:val="000B7367"/>
    <w:rsid w:val="000C0B35"/>
    <w:rsid w:val="001237D1"/>
    <w:rsid w:val="0017287A"/>
    <w:rsid w:val="003753D1"/>
    <w:rsid w:val="003A6BA5"/>
    <w:rsid w:val="003C450E"/>
    <w:rsid w:val="003D4D73"/>
    <w:rsid w:val="003F5AD7"/>
    <w:rsid w:val="0047543A"/>
    <w:rsid w:val="004A675F"/>
    <w:rsid w:val="004C048E"/>
    <w:rsid w:val="004D619D"/>
    <w:rsid w:val="00583AD1"/>
    <w:rsid w:val="005A5112"/>
    <w:rsid w:val="00607F93"/>
    <w:rsid w:val="00632C1B"/>
    <w:rsid w:val="00633653"/>
    <w:rsid w:val="006345B6"/>
    <w:rsid w:val="00657E10"/>
    <w:rsid w:val="0069738A"/>
    <w:rsid w:val="006D6416"/>
    <w:rsid w:val="006F1E91"/>
    <w:rsid w:val="00703DAD"/>
    <w:rsid w:val="00736717"/>
    <w:rsid w:val="00756F28"/>
    <w:rsid w:val="007A0D7E"/>
    <w:rsid w:val="007F4CAD"/>
    <w:rsid w:val="0085797D"/>
    <w:rsid w:val="008674F6"/>
    <w:rsid w:val="008D6F8D"/>
    <w:rsid w:val="009277BD"/>
    <w:rsid w:val="009306A1"/>
    <w:rsid w:val="00957C98"/>
    <w:rsid w:val="009A488E"/>
    <w:rsid w:val="009B3C82"/>
    <w:rsid w:val="009B581D"/>
    <w:rsid w:val="009C255B"/>
    <w:rsid w:val="009D06B0"/>
    <w:rsid w:val="009D2309"/>
    <w:rsid w:val="009F7049"/>
    <w:rsid w:val="00A17E93"/>
    <w:rsid w:val="00A82270"/>
    <w:rsid w:val="00A96D21"/>
    <w:rsid w:val="00AD224C"/>
    <w:rsid w:val="00AF4F6D"/>
    <w:rsid w:val="00B02B7D"/>
    <w:rsid w:val="00B55638"/>
    <w:rsid w:val="00B97641"/>
    <w:rsid w:val="00C0622B"/>
    <w:rsid w:val="00C52637"/>
    <w:rsid w:val="00CA0507"/>
    <w:rsid w:val="00CC3667"/>
    <w:rsid w:val="00D17EF3"/>
    <w:rsid w:val="00D351D8"/>
    <w:rsid w:val="00DC69F1"/>
    <w:rsid w:val="00E03FE3"/>
    <w:rsid w:val="00E046B2"/>
    <w:rsid w:val="00E318E3"/>
    <w:rsid w:val="00E75093"/>
    <w:rsid w:val="00E9636B"/>
    <w:rsid w:val="00EB672D"/>
    <w:rsid w:val="00EC00CF"/>
    <w:rsid w:val="00EE5954"/>
    <w:rsid w:val="00F31EE4"/>
    <w:rsid w:val="00F344CF"/>
    <w:rsid w:val="00F73067"/>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1245B"/>
  <w15:docId w15:val="{230DB121-0732-4DB3-A3F9-8025412E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7D1"/>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link w:val="BodyTextChar"/>
    <w:rPr>
      <w:sz w:val="22"/>
    </w:rPr>
  </w:style>
  <w:style w:type="paragraph" w:styleId="BodyText2">
    <w:name w:val="Body Text 2"/>
    <w:basedOn w:val="Normal"/>
    <w:link w:val="BodyText2Char"/>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BodyText2Char">
    <w:name w:val="Body Text 2 Char"/>
    <w:basedOn w:val="DefaultParagraphFont"/>
    <w:link w:val="BodyText2"/>
    <w:rsid w:val="00756F28"/>
    <w:rPr>
      <w:rFonts w:ascii="Times New Roman" w:hAnsi="Times New Roman"/>
      <w:lang w:val="en-GB"/>
    </w:rPr>
  </w:style>
  <w:style w:type="character" w:customStyle="1" w:styleId="BodyTextChar">
    <w:name w:val="Body Text Char"/>
    <w:basedOn w:val="DefaultParagraphFont"/>
    <w:link w:val="BodyText"/>
    <w:rsid w:val="00657E10"/>
    <w:rPr>
      <w:rFonts w:ascii="Times New Roman" w:hAnsi="Times New Roman"/>
      <w:sz w:val="22"/>
      <w:lang w:val="en-GB"/>
    </w:rPr>
  </w:style>
  <w:style w:type="character" w:styleId="CommentReference">
    <w:name w:val="annotation reference"/>
    <w:basedOn w:val="DefaultParagraphFont"/>
    <w:semiHidden/>
    <w:unhideWhenUsed/>
    <w:rsid w:val="00C0622B"/>
    <w:rPr>
      <w:sz w:val="16"/>
      <w:szCs w:val="16"/>
    </w:rPr>
  </w:style>
  <w:style w:type="paragraph" w:styleId="CommentText">
    <w:name w:val="annotation text"/>
    <w:basedOn w:val="Normal"/>
    <w:link w:val="CommentTextChar"/>
    <w:semiHidden/>
    <w:unhideWhenUsed/>
    <w:rsid w:val="00C0622B"/>
  </w:style>
  <w:style w:type="character" w:customStyle="1" w:styleId="CommentTextChar">
    <w:name w:val="Comment Text Char"/>
    <w:basedOn w:val="DefaultParagraphFont"/>
    <w:link w:val="CommentText"/>
    <w:semiHidden/>
    <w:rsid w:val="00C0622B"/>
    <w:rPr>
      <w:rFonts w:ascii="Times New Roman" w:hAnsi="Times New Roman"/>
      <w:lang w:val="en-GB"/>
    </w:rPr>
  </w:style>
  <w:style w:type="paragraph" w:styleId="CommentSubject">
    <w:name w:val="annotation subject"/>
    <w:basedOn w:val="CommentText"/>
    <w:next w:val="CommentText"/>
    <w:link w:val="CommentSubjectChar"/>
    <w:semiHidden/>
    <w:unhideWhenUsed/>
    <w:rsid w:val="00C0622B"/>
    <w:rPr>
      <w:b/>
      <w:bCs/>
    </w:rPr>
  </w:style>
  <w:style w:type="character" w:customStyle="1" w:styleId="CommentSubjectChar">
    <w:name w:val="Comment Subject Char"/>
    <w:basedOn w:val="CommentTextChar"/>
    <w:link w:val="CommentSubject"/>
    <w:semiHidden/>
    <w:rsid w:val="00C0622B"/>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BD42-928F-48D3-87B1-C2A8D5E1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3726</Words>
  <Characters>21244</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Satria Kanugrahan</cp:lastModifiedBy>
  <cp:revision>2</cp:revision>
  <cp:lastPrinted>2012-01-19T09:58:00Z</cp:lastPrinted>
  <dcterms:created xsi:type="dcterms:W3CDTF">2021-03-29T13:30:00Z</dcterms:created>
  <dcterms:modified xsi:type="dcterms:W3CDTF">2021-03-29T13:30:00Z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5e98d285-17cd-3444-b53e-282c2ccc7d37</vt:lpwstr>
  </property>
  <property fmtid="{D5CDD505-2E9C-101B-9397-08002B2CF9AE}" pid="24" name="Mendeley Citation Style_1">
    <vt:lpwstr>http://www.zotero.org/styles/harvard1</vt:lpwstr>
  </property>
</Properties>
</file>